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ellenraster"/>
        <w:tblW w:w="0" w:type="auto"/>
        <w:tblLook w:val="04A0" w:firstRow="1" w:lastRow="0" w:firstColumn="1" w:lastColumn="0" w:noHBand="0" w:noVBand="1"/>
      </w:tblPr>
      <w:tblGrid>
        <w:gridCol w:w="9062"/>
      </w:tblGrid>
      <w:tr w:rsidR="0036321B" w:rsidRPr="004B5272" w14:paraId="7C0045B0" w14:textId="77777777" w:rsidTr="00025F7B">
        <w:tc>
          <w:tcPr>
            <w:tcW w:w="9062" w:type="dxa"/>
            <w:shd w:val="clear" w:color="auto" w:fill="D9D9D9" w:themeFill="background1" w:themeFillShade="D9"/>
          </w:tcPr>
          <w:p w14:paraId="5B8AEF04" w14:textId="77777777" w:rsidR="0036321B" w:rsidRPr="004B5272" w:rsidRDefault="0036321B" w:rsidP="00025F7B">
            <w:pPr>
              <w:rPr>
                <w:b/>
                <w:bCs/>
                <w:sz w:val="22"/>
                <w:szCs w:val="22"/>
              </w:rPr>
            </w:pPr>
            <w:r w:rsidRPr="004B5272">
              <w:rPr>
                <w:b/>
                <w:bCs/>
                <w:sz w:val="22"/>
                <w:szCs w:val="22"/>
              </w:rPr>
              <w:t>Behörde / Institution</w:t>
            </w:r>
          </w:p>
        </w:tc>
      </w:tr>
      <w:tr w:rsidR="0036321B" w:rsidRPr="004B5272" w14:paraId="5CB2CDA2" w14:textId="77777777" w:rsidTr="00025F7B">
        <w:tc>
          <w:tcPr>
            <w:tcW w:w="9062" w:type="dxa"/>
          </w:tcPr>
          <w:p w14:paraId="317E7DF4" w14:textId="222E41C7" w:rsidR="0036321B" w:rsidRPr="004B5272" w:rsidRDefault="001379E1" w:rsidP="00025F7B">
            <w:pPr>
              <w:rPr>
                <w:sz w:val="22"/>
                <w:szCs w:val="22"/>
              </w:rPr>
            </w:pPr>
            <w:r w:rsidRPr="001379E1">
              <w:rPr>
                <w:sz w:val="22"/>
                <w:szCs w:val="22"/>
              </w:rPr>
              <w:t>Kreisverwaltung des Main-Kinzig-Kreises</w:t>
            </w:r>
          </w:p>
        </w:tc>
      </w:tr>
      <w:tr w:rsidR="001667E3" w:rsidRPr="004B5272" w14:paraId="55BB1DC7" w14:textId="77777777" w:rsidTr="00025F7B">
        <w:tc>
          <w:tcPr>
            <w:tcW w:w="9062" w:type="dxa"/>
            <w:shd w:val="clear" w:color="auto" w:fill="D9D9D9" w:themeFill="background1" w:themeFillShade="D9"/>
          </w:tcPr>
          <w:p w14:paraId="075151C8" w14:textId="58FC0416" w:rsidR="001667E3" w:rsidRPr="004B5272" w:rsidRDefault="001667E3" w:rsidP="00025F7B">
            <w:pPr>
              <w:rPr>
                <w:b/>
                <w:bCs/>
                <w:sz w:val="22"/>
                <w:szCs w:val="22"/>
              </w:rPr>
            </w:pPr>
            <w:r>
              <w:rPr>
                <w:b/>
                <w:bCs/>
                <w:sz w:val="22"/>
                <w:szCs w:val="22"/>
              </w:rPr>
              <w:t>Projektname</w:t>
            </w:r>
          </w:p>
        </w:tc>
      </w:tr>
      <w:tr w:rsidR="001667E3" w:rsidRPr="004B5272" w14:paraId="66B507CA" w14:textId="77777777" w:rsidTr="001667E3">
        <w:tc>
          <w:tcPr>
            <w:tcW w:w="9062" w:type="dxa"/>
          </w:tcPr>
          <w:p w14:paraId="06723702" w14:textId="02CA41ED" w:rsidR="001667E3" w:rsidRPr="001667E3" w:rsidRDefault="001667E3" w:rsidP="00025F7B">
            <w:pPr>
              <w:rPr>
                <w:sz w:val="22"/>
                <w:szCs w:val="22"/>
              </w:rPr>
            </w:pPr>
            <w:r w:rsidRPr="001667E3">
              <w:rPr>
                <w:sz w:val="22"/>
                <w:szCs w:val="22"/>
              </w:rPr>
              <w:t>AURA</w:t>
            </w:r>
          </w:p>
        </w:tc>
      </w:tr>
      <w:tr w:rsidR="0036321B" w:rsidRPr="004B5272" w14:paraId="3AAF23FA" w14:textId="77777777" w:rsidTr="00025F7B">
        <w:tc>
          <w:tcPr>
            <w:tcW w:w="9062" w:type="dxa"/>
            <w:shd w:val="clear" w:color="auto" w:fill="D9D9D9" w:themeFill="background1" w:themeFillShade="D9"/>
          </w:tcPr>
          <w:p w14:paraId="5287B171" w14:textId="77777777" w:rsidR="0036321B" w:rsidRPr="004B5272" w:rsidRDefault="0036321B" w:rsidP="00025F7B">
            <w:pPr>
              <w:rPr>
                <w:b/>
                <w:bCs/>
                <w:sz w:val="22"/>
                <w:szCs w:val="22"/>
              </w:rPr>
            </w:pPr>
            <w:r w:rsidRPr="004B5272">
              <w:rPr>
                <w:b/>
                <w:bCs/>
                <w:sz w:val="22"/>
                <w:szCs w:val="22"/>
              </w:rPr>
              <w:t>Verwaltungsebene</w:t>
            </w:r>
          </w:p>
        </w:tc>
      </w:tr>
      <w:tr w:rsidR="0036321B" w:rsidRPr="004B5272" w14:paraId="7147D455" w14:textId="77777777" w:rsidTr="00025F7B">
        <w:tc>
          <w:tcPr>
            <w:tcW w:w="9062" w:type="dxa"/>
          </w:tcPr>
          <w:p w14:paraId="6C04052F" w14:textId="3A840913" w:rsidR="0036321B" w:rsidRPr="004B5272" w:rsidRDefault="0036321B" w:rsidP="00025F7B">
            <w:pPr>
              <w:rPr>
                <w:sz w:val="22"/>
                <w:szCs w:val="22"/>
              </w:rPr>
            </w:pPr>
            <w:r>
              <w:rPr>
                <w:sz w:val="22"/>
                <w:szCs w:val="22"/>
              </w:rPr>
              <w:t>Kommune</w:t>
            </w:r>
          </w:p>
        </w:tc>
      </w:tr>
      <w:tr w:rsidR="0036321B" w:rsidRPr="004B5272" w14:paraId="67B4F327" w14:textId="77777777" w:rsidTr="00025F7B">
        <w:tc>
          <w:tcPr>
            <w:tcW w:w="9062" w:type="dxa"/>
            <w:shd w:val="clear" w:color="auto" w:fill="D9D9D9" w:themeFill="background1" w:themeFillShade="D9"/>
          </w:tcPr>
          <w:p w14:paraId="6BA9AF3F" w14:textId="77777777" w:rsidR="0036321B" w:rsidRPr="004B5272" w:rsidRDefault="0036321B" w:rsidP="00025F7B">
            <w:pPr>
              <w:rPr>
                <w:b/>
                <w:bCs/>
                <w:sz w:val="22"/>
                <w:szCs w:val="22"/>
              </w:rPr>
            </w:pPr>
            <w:r w:rsidRPr="004B5272">
              <w:rPr>
                <w:b/>
                <w:bCs/>
                <w:sz w:val="22"/>
                <w:szCs w:val="22"/>
              </w:rPr>
              <w:t>Website / URL</w:t>
            </w:r>
          </w:p>
        </w:tc>
      </w:tr>
      <w:tr w:rsidR="0036321B" w:rsidRPr="004B5272" w14:paraId="0CFC2284" w14:textId="77777777" w:rsidTr="00025F7B">
        <w:tc>
          <w:tcPr>
            <w:tcW w:w="9062" w:type="dxa"/>
          </w:tcPr>
          <w:p w14:paraId="23E11555" w14:textId="24C360C4" w:rsidR="0036321B" w:rsidRPr="004B5272" w:rsidRDefault="001379E1" w:rsidP="00025F7B">
            <w:pPr>
              <w:rPr>
                <w:sz w:val="22"/>
                <w:szCs w:val="22"/>
              </w:rPr>
            </w:pPr>
            <w:hyperlink r:id="rId6" w:history="1">
              <w:r w:rsidRPr="001379E1">
                <w:rPr>
                  <w:rStyle w:val="Hyperlink"/>
                  <w:sz w:val="22"/>
                  <w:szCs w:val="22"/>
                </w:rPr>
                <w:t>https://www.mkk.de</w:t>
              </w:r>
            </w:hyperlink>
          </w:p>
        </w:tc>
      </w:tr>
      <w:tr w:rsidR="0036321B" w:rsidRPr="004B5272" w14:paraId="7F701548" w14:textId="77777777" w:rsidTr="00025F7B">
        <w:tc>
          <w:tcPr>
            <w:tcW w:w="9062" w:type="dxa"/>
            <w:shd w:val="clear" w:color="auto" w:fill="D9D9D9" w:themeFill="background1" w:themeFillShade="D9"/>
          </w:tcPr>
          <w:p w14:paraId="3FC4E41D" w14:textId="77777777" w:rsidR="0036321B" w:rsidRPr="004B5272" w:rsidRDefault="0036321B" w:rsidP="00025F7B">
            <w:pPr>
              <w:rPr>
                <w:b/>
                <w:bCs/>
                <w:sz w:val="22"/>
                <w:szCs w:val="22"/>
              </w:rPr>
            </w:pPr>
            <w:r w:rsidRPr="004B5272">
              <w:rPr>
                <w:b/>
                <w:bCs/>
                <w:sz w:val="22"/>
                <w:szCs w:val="22"/>
              </w:rPr>
              <w:t>Einreichungskategorie</w:t>
            </w:r>
          </w:p>
        </w:tc>
      </w:tr>
      <w:tr w:rsidR="0036321B" w:rsidRPr="004B5272" w14:paraId="73DABE90" w14:textId="77777777" w:rsidTr="00025F7B">
        <w:tc>
          <w:tcPr>
            <w:tcW w:w="9062" w:type="dxa"/>
          </w:tcPr>
          <w:p w14:paraId="09ED68D1" w14:textId="77777777" w:rsidR="0036321B" w:rsidRPr="004B5272" w:rsidRDefault="0036321B" w:rsidP="00025F7B">
            <w:pPr>
              <w:rPr>
                <w:sz w:val="22"/>
                <w:szCs w:val="22"/>
              </w:rPr>
            </w:pPr>
            <w:r w:rsidRPr="00F37DF9">
              <w:rPr>
                <w:sz w:val="22"/>
                <w:szCs w:val="22"/>
              </w:rPr>
              <w:t>Interne Verwaltungsanwendungen</w:t>
            </w:r>
          </w:p>
        </w:tc>
      </w:tr>
      <w:tr w:rsidR="0036321B" w:rsidRPr="004B5272" w14:paraId="4EA7F765" w14:textId="77777777" w:rsidTr="00025F7B">
        <w:tc>
          <w:tcPr>
            <w:tcW w:w="9062" w:type="dxa"/>
            <w:shd w:val="clear" w:color="auto" w:fill="D9D9D9" w:themeFill="background1" w:themeFillShade="D9"/>
          </w:tcPr>
          <w:p w14:paraId="29CD93B3" w14:textId="77777777" w:rsidR="0036321B" w:rsidRPr="004B5272" w:rsidRDefault="0036321B" w:rsidP="00025F7B">
            <w:pPr>
              <w:rPr>
                <w:sz w:val="22"/>
                <w:szCs w:val="22"/>
              </w:rPr>
            </w:pPr>
            <w:r w:rsidRPr="004B5272">
              <w:rPr>
                <w:b/>
                <w:bCs/>
                <w:sz w:val="22"/>
                <w:szCs w:val="22"/>
              </w:rPr>
              <w:t>Möchten Sie das Projekt noch in einer zweiten Kategorie einreichen?</w:t>
            </w:r>
          </w:p>
        </w:tc>
      </w:tr>
      <w:tr w:rsidR="0036321B" w:rsidRPr="004B5272" w14:paraId="2693DDBA" w14:textId="77777777" w:rsidTr="00025F7B">
        <w:tc>
          <w:tcPr>
            <w:tcW w:w="9062" w:type="dxa"/>
          </w:tcPr>
          <w:p w14:paraId="1CCAAE77" w14:textId="77777777" w:rsidR="0036321B" w:rsidRPr="004B5272" w:rsidRDefault="0036321B" w:rsidP="00025F7B">
            <w:pPr>
              <w:rPr>
                <w:sz w:val="22"/>
                <w:szCs w:val="22"/>
              </w:rPr>
            </w:pPr>
            <w:r>
              <w:rPr>
                <w:sz w:val="22"/>
                <w:szCs w:val="22"/>
              </w:rPr>
              <w:t>Fachverfahren</w:t>
            </w:r>
          </w:p>
        </w:tc>
      </w:tr>
      <w:tr w:rsidR="0036321B" w:rsidRPr="004B5272" w14:paraId="5B8B28B8" w14:textId="77777777" w:rsidTr="00025F7B">
        <w:tc>
          <w:tcPr>
            <w:tcW w:w="9062" w:type="dxa"/>
            <w:shd w:val="clear" w:color="auto" w:fill="D9D9D9" w:themeFill="background1" w:themeFillShade="D9"/>
          </w:tcPr>
          <w:p w14:paraId="11AE01E3" w14:textId="77777777" w:rsidR="0036321B" w:rsidRPr="004B5272" w:rsidRDefault="0036321B" w:rsidP="00025F7B">
            <w:pPr>
              <w:rPr>
                <w:sz w:val="22"/>
                <w:szCs w:val="22"/>
              </w:rPr>
            </w:pPr>
            <w:r w:rsidRPr="004B5272">
              <w:rPr>
                <w:b/>
                <w:bCs/>
                <w:sz w:val="22"/>
                <w:szCs w:val="22"/>
              </w:rPr>
              <w:t>Projektbeschreibung</w:t>
            </w:r>
          </w:p>
        </w:tc>
      </w:tr>
      <w:tr w:rsidR="0036321B" w:rsidRPr="004B5272" w14:paraId="417997E0" w14:textId="77777777" w:rsidTr="00025F7B">
        <w:tc>
          <w:tcPr>
            <w:tcW w:w="9062" w:type="dxa"/>
          </w:tcPr>
          <w:p w14:paraId="78070C8E" w14:textId="1D1A8918" w:rsidR="0036321B" w:rsidRPr="000A5C13" w:rsidRDefault="001379E1" w:rsidP="001379E1">
            <w:pPr>
              <w:pStyle w:val="StandardWeb"/>
              <w:spacing w:before="0" w:beforeAutospacing="0" w:after="0" w:afterAutospacing="0"/>
              <w:rPr>
                <w:rFonts w:asciiTheme="minorHAnsi" w:hAnsiTheme="minorHAnsi" w:cs="Segoe UI"/>
                <w:color w:val="3C434A"/>
                <w:sz w:val="22"/>
                <w:szCs w:val="22"/>
                <w:shd w:val="clear" w:color="auto" w:fill="FFFFFF"/>
              </w:rPr>
            </w:pPr>
            <w:r w:rsidRPr="00A70CF5">
              <w:rPr>
                <w:rFonts w:asciiTheme="minorHAnsi" w:hAnsiTheme="minorHAnsi" w:cs="Segoe UI"/>
                <w:color w:val="000000" w:themeColor="text1"/>
                <w:sz w:val="22"/>
                <w:szCs w:val="22"/>
                <w:shd w:val="clear" w:color="auto" w:fill="FFFFFF"/>
              </w:rPr>
              <w:t>Die diesjährige Bewerbung dokumentiert den erfolgreichen Übergang von einer ambitionierten Vision zur operativen Realität. AURA fungiert heute als das strategische Rückgrat für die Bereitstellung maßgeschneiderter Fachverfahren, die den spezifischen Anforderungen des öffentlichen Dienstes oft besser als Standardanwendungen gerecht wurden. Durch die auf Basis verschiedenster fachlicher Anforderungen bereitgestellte gezielte Lösung hat der MKK</w:t>
            </w:r>
            <w:r w:rsidRPr="00A70CF5">
              <w:rPr>
                <w:rFonts w:asciiTheme="minorHAnsi" w:hAnsiTheme="minorHAnsi" w:cs="Segoe UI"/>
                <w:color w:val="000000" w:themeColor="text1"/>
                <w:sz w:val="22"/>
                <w:szCs w:val="22"/>
                <w:shd w:val="clear" w:color="auto" w:fill="FFFFFF"/>
              </w:rPr>
              <w:br/>
              <w:t>bewiesen, dass Open-Source-Software im Verwaltungsalltag nicht nur eine Alternative, sondern eine überlegene Basis darstellt, wenn es darum geht, fachliche Anforderungen in für Mitarbeiterinnen und Mitarbeiter praktikable Lösungen umzusetzen.</w:t>
            </w:r>
          </w:p>
        </w:tc>
      </w:tr>
      <w:tr w:rsidR="0036321B" w:rsidRPr="004B5272" w14:paraId="343C83DC" w14:textId="77777777" w:rsidTr="00025F7B">
        <w:tc>
          <w:tcPr>
            <w:tcW w:w="9062" w:type="dxa"/>
            <w:shd w:val="clear" w:color="auto" w:fill="D9D9D9" w:themeFill="background1" w:themeFillShade="D9"/>
          </w:tcPr>
          <w:p w14:paraId="70C4429D" w14:textId="77777777" w:rsidR="0036321B" w:rsidRPr="004B5272" w:rsidRDefault="0036321B" w:rsidP="00025F7B">
            <w:pPr>
              <w:rPr>
                <w:sz w:val="22"/>
                <w:szCs w:val="22"/>
              </w:rPr>
            </w:pPr>
            <w:r w:rsidRPr="004B5272">
              <w:rPr>
                <w:b/>
                <w:bCs/>
                <w:sz w:val="22"/>
                <w:szCs w:val="22"/>
              </w:rPr>
              <w:t>Beschreiben Sie den technischen Innovationsgrad des Projektes und den Beitrag zur Verwaltungsmodernisierung.</w:t>
            </w:r>
          </w:p>
        </w:tc>
      </w:tr>
      <w:tr w:rsidR="0036321B" w:rsidRPr="004B5272" w14:paraId="35E388F1" w14:textId="77777777" w:rsidTr="00025F7B">
        <w:tc>
          <w:tcPr>
            <w:tcW w:w="9062" w:type="dxa"/>
          </w:tcPr>
          <w:p w14:paraId="3C6B75FB" w14:textId="6678E688" w:rsidR="001379E1" w:rsidRDefault="001379E1" w:rsidP="00025F7B">
            <w:pPr>
              <w:rPr>
                <w:sz w:val="22"/>
                <w:szCs w:val="22"/>
              </w:rPr>
            </w:pPr>
            <w:r w:rsidRPr="001379E1">
              <w:rPr>
                <w:sz w:val="22"/>
                <w:szCs w:val="22"/>
              </w:rPr>
              <w:t>Der Erfolg von AURA basiert auf der Architekturhoheit durch den Open-Source-Kern LIMBAS, der als zentrale Master-Applikation fungiert.</w:t>
            </w:r>
          </w:p>
          <w:p w14:paraId="192A89D6" w14:textId="77777777" w:rsidR="001379E1" w:rsidRDefault="001379E1" w:rsidP="001379E1">
            <w:pPr>
              <w:pStyle w:val="Listenabsatz"/>
              <w:numPr>
                <w:ilvl w:val="0"/>
                <w:numId w:val="7"/>
              </w:numPr>
              <w:rPr>
                <w:sz w:val="22"/>
                <w:szCs w:val="22"/>
              </w:rPr>
            </w:pPr>
            <w:r w:rsidRPr="001379E1">
              <w:rPr>
                <w:sz w:val="22"/>
                <w:szCs w:val="22"/>
              </w:rPr>
              <w:t>Low-Code-Flexibilität: Vollständige Kontrolle über das Datenmodell und der Implementierung fachspezifischer Logik ohne Vendor-Lock-in. Anpassungen an neue gesetzliche Vorgaben erfolgen agil und unabhängig von Release-Zyklen externer Softwarehäuser. Datenanalyse und Wissensmanagement werden ‚</w:t>
            </w:r>
            <w:proofErr w:type="spellStart"/>
            <w:r w:rsidRPr="001379E1">
              <w:rPr>
                <w:sz w:val="22"/>
                <w:szCs w:val="22"/>
              </w:rPr>
              <w:t>seamless</w:t>
            </w:r>
            <w:proofErr w:type="spellEnd"/>
            <w:r w:rsidRPr="001379E1">
              <w:rPr>
                <w:sz w:val="22"/>
                <w:szCs w:val="22"/>
              </w:rPr>
              <w:t xml:space="preserve">‘ über andere – auf diese Bereiche spezialisierte Open- Source Lösungen – quasi als Plug-In integriert und ganzheitlich dem Benutzer zur Verfügung gestellt. Die Evolution </w:t>
            </w:r>
            <w:proofErr w:type="gramStart"/>
            <w:r w:rsidRPr="001379E1">
              <w:rPr>
                <w:sz w:val="22"/>
                <w:szCs w:val="22"/>
              </w:rPr>
              <w:t>von Limbas</w:t>
            </w:r>
            <w:proofErr w:type="gramEnd"/>
            <w:r w:rsidRPr="001379E1">
              <w:rPr>
                <w:sz w:val="22"/>
                <w:szCs w:val="22"/>
              </w:rPr>
              <w:t xml:space="preserve"> als Produkt zu AURA als verwaltungsspezifische Anwendungs-Plattform.</w:t>
            </w:r>
          </w:p>
          <w:p w14:paraId="5F8EB574" w14:textId="77777777" w:rsidR="001379E1" w:rsidRDefault="001379E1" w:rsidP="001379E1">
            <w:pPr>
              <w:pStyle w:val="Listenabsatz"/>
              <w:numPr>
                <w:ilvl w:val="0"/>
                <w:numId w:val="7"/>
              </w:numPr>
              <w:rPr>
                <w:sz w:val="22"/>
                <w:szCs w:val="22"/>
              </w:rPr>
            </w:pPr>
            <w:r w:rsidRPr="001379E1">
              <w:rPr>
                <w:sz w:val="22"/>
                <w:szCs w:val="22"/>
              </w:rPr>
              <w:t xml:space="preserve">Datenkonsistenz und Revisionssicherheit: Das Prinzip der „Keine Doppelerfassung“ wird strikt umgesetzt. LIMBAS hält als Master-System die Fachlogik, während Grunddaten via REST-API bidirektional mit Systemen wie </w:t>
            </w:r>
            <w:proofErr w:type="spellStart"/>
            <w:r w:rsidRPr="001379E1">
              <w:rPr>
                <w:sz w:val="22"/>
                <w:szCs w:val="22"/>
              </w:rPr>
              <w:t>Civento</w:t>
            </w:r>
            <w:proofErr w:type="spellEnd"/>
            <w:r w:rsidRPr="001379E1">
              <w:rPr>
                <w:sz w:val="22"/>
                <w:szCs w:val="22"/>
              </w:rPr>
              <w:t>, LOGA und/oder anderen bestehenden Systemen synchronisiert werden.</w:t>
            </w:r>
          </w:p>
          <w:p w14:paraId="109B6E4F" w14:textId="0F9EF0F6" w:rsidR="0036321B" w:rsidRPr="001379E1" w:rsidRDefault="001379E1" w:rsidP="001379E1">
            <w:pPr>
              <w:pStyle w:val="Listenabsatz"/>
              <w:numPr>
                <w:ilvl w:val="0"/>
                <w:numId w:val="7"/>
              </w:numPr>
              <w:rPr>
                <w:sz w:val="22"/>
                <w:szCs w:val="22"/>
              </w:rPr>
            </w:pPr>
            <w:r w:rsidRPr="001379E1">
              <w:rPr>
                <w:sz w:val="22"/>
                <w:szCs w:val="22"/>
              </w:rPr>
              <w:t>Modernes UX-Framework: Kontinuierliche Modernisierung der UI-Komponenten sichert die Ergonomie am Arbeitsplatz, minimiert Schulungsbedarfe und steigert damit die Mitarbeiterakzeptanz – und damit automatisch die Arbeitsergebnisse.</w:t>
            </w:r>
          </w:p>
        </w:tc>
      </w:tr>
      <w:tr w:rsidR="0036321B" w:rsidRPr="004B5272" w14:paraId="03D6CE6B" w14:textId="77777777" w:rsidTr="00025F7B">
        <w:tc>
          <w:tcPr>
            <w:tcW w:w="9062" w:type="dxa"/>
            <w:shd w:val="clear" w:color="auto" w:fill="D9D9D9" w:themeFill="background1" w:themeFillShade="D9"/>
          </w:tcPr>
          <w:p w14:paraId="750960E3" w14:textId="77777777" w:rsidR="0036321B" w:rsidRPr="004B5272" w:rsidRDefault="0036321B" w:rsidP="00025F7B">
            <w:pPr>
              <w:rPr>
                <w:sz w:val="22"/>
                <w:szCs w:val="22"/>
              </w:rPr>
            </w:pPr>
            <w:r w:rsidRPr="004B5272">
              <w:rPr>
                <w:b/>
                <w:bCs/>
                <w:sz w:val="22"/>
                <w:szCs w:val="22"/>
              </w:rPr>
              <w:t>Welchen ökomischen Nutzen hat das Projekt?</w:t>
            </w:r>
          </w:p>
        </w:tc>
      </w:tr>
      <w:tr w:rsidR="0036321B" w:rsidRPr="004B5272" w14:paraId="03447C9D" w14:textId="77777777" w:rsidTr="00025F7B">
        <w:tc>
          <w:tcPr>
            <w:tcW w:w="9062" w:type="dxa"/>
          </w:tcPr>
          <w:p w14:paraId="4FE3DDDB" w14:textId="4D0C3A33" w:rsidR="001379E1" w:rsidRDefault="001379E1" w:rsidP="00025F7B">
            <w:pPr>
              <w:rPr>
                <w:sz w:val="22"/>
                <w:szCs w:val="22"/>
              </w:rPr>
            </w:pPr>
            <w:r w:rsidRPr="001379E1">
              <w:rPr>
                <w:sz w:val="22"/>
                <w:szCs w:val="22"/>
              </w:rPr>
              <w:t>Interkommunales Ecosystem: Strategische Zusammenarbeit mit Kommunen aus dem Main- Kinzig-Kreis, aber auch Partnern außerhalb des Kreises wie dem Rheingau-Taunus-Kreis und der Stadt Rodgau, zur Nachnutzung der bereits entwickelten Anwendungen.</w:t>
            </w:r>
          </w:p>
          <w:p w14:paraId="32BB0DC6" w14:textId="77777777" w:rsidR="001379E1" w:rsidRDefault="001379E1" w:rsidP="001379E1">
            <w:pPr>
              <w:pStyle w:val="Listenabsatz"/>
              <w:numPr>
                <w:ilvl w:val="0"/>
                <w:numId w:val="8"/>
              </w:numPr>
              <w:rPr>
                <w:sz w:val="22"/>
                <w:szCs w:val="22"/>
              </w:rPr>
            </w:pPr>
            <w:r w:rsidRPr="001379E1">
              <w:rPr>
                <w:sz w:val="22"/>
                <w:szCs w:val="22"/>
              </w:rPr>
              <w:t xml:space="preserve">Flächendeckende Skalierung: Sukzessive Einführung und Weiterentwicklung der </w:t>
            </w:r>
            <w:proofErr w:type="gramStart"/>
            <w:r w:rsidRPr="001379E1">
              <w:rPr>
                <w:sz w:val="22"/>
                <w:szCs w:val="22"/>
              </w:rPr>
              <w:t>AURA Lösungen</w:t>
            </w:r>
            <w:proofErr w:type="gramEnd"/>
            <w:r w:rsidRPr="001379E1">
              <w:rPr>
                <w:sz w:val="22"/>
                <w:szCs w:val="22"/>
              </w:rPr>
              <w:t xml:space="preserve"> in allen 28 kreisangehörigen Kommunen des Main-Kinzig-Kreises.</w:t>
            </w:r>
          </w:p>
          <w:p w14:paraId="62B98C33" w14:textId="4679338A" w:rsidR="0036321B" w:rsidRPr="001379E1" w:rsidRDefault="001379E1" w:rsidP="001379E1">
            <w:pPr>
              <w:pStyle w:val="Listenabsatz"/>
              <w:numPr>
                <w:ilvl w:val="0"/>
                <w:numId w:val="8"/>
              </w:numPr>
              <w:rPr>
                <w:sz w:val="22"/>
                <w:szCs w:val="22"/>
              </w:rPr>
            </w:pPr>
            <w:r w:rsidRPr="001379E1">
              <w:rPr>
                <w:sz w:val="22"/>
                <w:szCs w:val="22"/>
              </w:rPr>
              <w:t>Nachnutzbarkeit: Bereitstellung eines standardisierten Zielbildes, das anderen Landkreisen und Kommunen als sofort einsetzbare Blaupause dient.</w:t>
            </w:r>
          </w:p>
        </w:tc>
      </w:tr>
      <w:tr w:rsidR="0036321B" w:rsidRPr="004B5272" w14:paraId="7B0BEEB6" w14:textId="77777777" w:rsidTr="00025F7B">
        <w:tc>
          <w:tcPr>
            <w:tcW w:w="9062" w:type="dxa"/>
            <w:shd w:val="clear" w:color="auto" w:fill="D9D9D9" w:themeFill="background1" w:themeFillShade="D9"/>
          </w:tcPr>
          <w:p w14:paraId="756D3EB7" w14:textId="77777777" w:rsidR="0036321B" w:rsidRPr="004B5272" w:rsidRDefault="0036321B" w:rsidP="00025F7B">
            <w:pPr>
              <w:rPr>
                <w:sz w:val="22"/>
                <w:szCs w:val="22"/>
              </w:rPr>
            </w:pPr>
            <w:r w:rsidRPr="004B5272">
              <w:rPr>
                <w:b/>
                <w:bCs/>
                <w:sz w:val="22"/>
                <w:szCs w:val="22"/>
              </w:rPr>
              <w:t>Beschreiben Sie die Nachhaltigkeit der Lösung.</w:t>
            </w:r>
          </w:p>
        </w:tc>
      </w:tr>
      <w:tr w:rsidR="0036321B" w:rsidRPr="004B5272" w14:paraId="6ECDF792" w14:textId="77777777" w:rsidTr="00025F7B">
        <w:tc>
          <w:tcPr>
            <w:tcW w:w="9062" w:type="dxa"/>
          </w:tcPr>
          <w:p w14:paraId="2A9A2EAA" w14:textId="77777777" w:rsidR="001379E1" w:rsidRDefault="001379E1" w:rsidP="00025F7B">
            <w:pPr>
              <w:rPr>
                <w:sz w:val="22"/>
                <w:szCs w:val="22"/>
              </w:rPr>
            </w:pPr>
            <w:r w:rsidRPr="001379E1">
              <w:rPr>
                <w:sz w:val="22"/>
                <w:szCs w:val="22"/>
              </w:rPr>
              <w:t xml:space="preserve">Unter dem Leitmotiv „Public Money? Public Code!“ transformiert der </w:t>
            </w:r>
            <w:proofErr w:type="gramStart"/>
            <w:r w:rsidRPr="001379E1">
              <w:rPr>
                <w:sz w:val="22"/>
                <w:szCs w:val="22"/>
              </w:rPr>
              <w:t>MKK Investitionsausgaben</w:t>
            </w:r>
            <w:proofErr w:type="gramEnd"/>
            <w:r w:rsidRPr="001379E1">
              <w:rPr>
                <w:sz w:val="22"/>
                <w:szCs w:val="22"/>
              </w:rPr>
              <w:t xml:space="preserve"> in nachhaltiges Gemeingut. Anstatt jährlich steigende Lizenzgebühren an proprietäre Anbieter zu zahlen, wird in die fachliche Tiefe der eigenen Lösungen investiert.</w:t>
            </w:r>
          </w:p>
          <w:p w14:paraId="4DE5637F" w14:textId="77777777" w:rsidR="001379E1" w:rsidRDefault="001379E1" w:rsidP="001379E1">
            <w:pPr>
              <w:pStyle w:val="Listenabsatz"/>
              <w:numPr>
                <w:ilvl w:val="0"/>
                <w:numId w:val="9"/>
              </w:numPr>
              <w:rPr>
                <w:sz w:val="22"/>
                <w:szCs w:val="22"/>
              </w:rPr>
            </w:pPr>
            <w:r w:rsidRPr="001379E1">
              <w:rPr>
                <w:sz w:val="22"/>
                <w:szCs w:val="22"/>
              </w:rPr>
              <w:lastRenderedPageBreak/>
              <w:t>Vermeidung von Lock-in-Effekten: Der Einsatz offener Standards garantiert die dauerhafte Handlungsfähigkeit und technologische Unabhängigkeit von</w:t>
            </w:r>
            <w:r w:rsidRPr="001379E1">
              <w:rPr>
                <w:sz w:val="22"/>
                <w:szCs w:val="22"/>
              </w:rPr>
              <w:br/>
              <w:t>Herstellermonopolen.</w:t>
            </w:r>
          </w:p>
          <w:p w14:paraId="37BA2FBF" w14:textId="77777777" w:rsidR="001379E1" w:rsidRDefault="001379E1" w:rsidP="001379E1">
            <w:pPr>
              <w:pStyle w:val="Listenabsatz"/>
              <w:numPr>
                <w:ilvl w:val="0"/>
                <w:numId w:val="9"/>
              </w:numPr>
              <w:rPr>
                <w:sz w:val="22"/>
                <w:szCs w:val="22"/>
              </w:rPr>
            </w:pPr>
            <w:r>
              <w:rPr>
                <w:sz w:val="22"/>
                <w:szCs w:val="22"/>
              </w:rPr>
              <w:t>F</w:t>
            </w:r>
            <w:r w:rsidRPr="001379E1">
              <w:rPr>
                <w:sz w:val="22"/>
                <w:szCs w:val="22"/>
              </w:rPr>
              <w:t>achverfahrensentwicklung und -substitution: Die gezielte Ablösung und Weiterentwicklung von bestehender Fachverfahren durch AURA-Applikationen –</w:t>
            </w:r>
            <w:r w:rsidRPr="001379E1">
              <w:rPr>
                <w:sz w:val="22"/>
                <w:szCs w:val="22"/>
              </w:rPr>
              <w:br/>
              <w:t>insbesondere hinsichtlich Interoperabilität mit anderen Systemen - senkt die langfristigen IT-Betriebskosten massiv und passt Anwendungen optimaler an</w:t>
            </w:r>
            <w:r w:rsidRPr="001379E1">
              <w:rPr>
                <w:sz w:val="22"/>
                <w:szCs w:val="22"/>
              </w:rPr>
              <w:br/>
              <w:t>bestehende Verwaltungsprozesse an.</w:t>
            </w:r>
          </w:p>
          <w:p w14:paraId="13D1B308" w14:textId="07B7F838" w:rsidR="0036321B" w:rsidRPr="001379E1" w:rsidRDefault="001379E1" w:rsidP="001379E1">
            <w:pPr>
              <w:pStyle w:val="Listenabsatz"/>
              <w:numPr>
                <w:ilvl w:val="0"/>
                <w:numId w:val="9"/>
              </w:numPr>
              <w:rPr>
                <w:sz w:val="22"/>
                <w:szCs w:val="22"/>
              </w:rPr>
            </w:pPr>
            <w:r w:rsidRPr="001379E1">
              <w:rPr>
                <w:sz w:val="22"/>
                <w:szCs w:val="22"/>
              </w:rPr>
              <w:t xml:space="preserve">Resilienz: Alle Entwicklungen werden allen bundesdeutschen Kommunen als Public Code über </w:t>
            </w:r>
            <w:proofErr w:type="spellStart"/>
            <w:r w:rsidRPr="001379E1">
              <w:rPr>
                <w:sz w:val="22"/>
                <w:szCs w:val="22"/>
              </w:rPr>
              <w:t>openCode</w:t>
            </w:r>
            <w:proofErr w:type="spellEnd"/>
            <w:r w:rsidRPr="001379E1">
              <w:rPr>
                <w:sz w:val="22"/>
                <w:szCs w:val="22"/>
              </w:rPr>
              <w:t xml:space="preserve">-Plattform der </w:t>
            </w:r>
            <w:proofErr w:type="spellStart"/>
            <w:r w:rsidRPr="001379E1">
              <w:rPr>
                <w:sz w:val="22"/>
                <w:szCs w:val="22"/>
              </w:rPr>
              <w:t>ZenDis</w:t>
            </w:r>
            <w:proofErr w:type="spellEnd"/>
            <w:r w:rsidRPr="001379E1">
              <w:rPr>
                <w:sz w:val="22"/>
                <w:szCs w:val="22"/>
              </w:rPr>
              <w:t xml:space="preserve"> nach dem OSLOCO-Projektende zur Verfügung gestellt.</w:t>
            </w:r>
          </w:p>
        </w:tc>
      </w:tr>
      <w:tr w:rsidR="0036321B" w:rsidRPr="004B5272" w14:paraId="794B89F2" w14:textId="77777777" w:rsidTr="00025F7B">
        <w:tc>
          <w:tcPr>
            <w:tcW w:w="9062" w:type="dxa"/>
            <w:shd w:val="clear" w:color="auto" w:fill="D9D9D9" w:themeFill="background1" w:themeFillShade="D9"/>
          </w:tcPr>
          <w:p w14:paraId="6E9F88AF" w14:textId="77777777" w:rsidR="0036321B" w:rsidRPr="004B5272" w:rsidRDefault="0036321B" w:rsidP="00025F7B">
            <w:pPr>
              <w:rPr>
                <w:sz w:val="22"/>
                <w:szCs w:val="22"/>
              </w:rPr>
            </w:pPr>
            <w:r w:rsidRPr="004B5272">
              <w:rPr>
                <w:b/>
                <w:bCs/>
                <w:sz w:val="22"/>
                <w:szCs w:val="22"/>
              </w:rPr>
              <w:lastRenderedPageBreak/>
              <w:t>Wie trägt das Projekt zur Stärkung der Digitalen Souveränität bei?</w:t>
            </w:r>
          </w:p>
        </w:tc>
      </w:tr>
      <w:tr w:rsidR="0036321B" w:rsidRPr="004B5272" w14:paraId="03AAD3D7" w14:textId="77777777" w:rsidTr="00025F7B">
        <w:tc>
          <w:tcPr>
            <w:tcW w:w="9062" w:type="dxa"/>
          </w:tcPr>
          <w:p w14:paraId="61F80A2A" w14:textId="23E522A1" w:rsidR="0036321B" w:rsidRPr="004B5272" w:rsidRDefault="001379E1" w:rsidP="00025F7B">
            <w:pPr>
              <w:rPr>
                <w:sz w:val="22"/>
                <w:szCs w:val="22"/>
              </w:rPr>
            </w:pPr>
            <w:r w:rsidRPr="001379E1">
              <w:rPr>
                <w:sz w:val="22"/>
                <w:szCs w:val="22"/>
              </w:rPr>
              <w:t>Mit der Initiative OSLOCO-Hessen (Open Source Low Code) initiiert der Main-Kinzig-Kreis, gefördert durch das Land Hessen, ein kollaboratives Ökosystem. Die in den letzten 3 Jahren gewonnen Erkenntnisse und die mit dem Partner LIMBAS weiterentwickelte Plattform mit all seinen bisher sechs Anwendungen, sollen allen interessierten Kommunen bereitgestellt werden. Darüber hinaus soll gemeinsam mit den Kommunen neue Fachverfahren spezifiziert</w:t>
            </w:r>
            <w:r w:rsidRPr="001379E1">
              <w:rPr>
                <w:sz w:val="22"/>
                <w:szCs w:val="22"/>
              </w:rPr>
              <w:br/>
              <w:t>und entwickelt werden. Usability, Funktionalitäten und Integrationen in vor Ort bereits bestehende Systeme sollen die Digitalisierungsreife, den Automatisierungsgrad und die Mitarbeiterakzeptanz weiter ausbauen bzw. stärken. Es geht nicht mehr nur um Einzelanwendungen, sondern um den Aufbau einer kreisweiten Plattform für digitale Souveränität.</w:t>
            </w:r>
            <w:r w:rsidRPr="001379E1">
              <w:rPr>
                <w:sz w:val="22"/>
                <w:szCs w:val="22"/>
              </w:rPr>
              <w:br/>
              <w:t>„Die digitale Souveränität des Main-Kinzig-Kreise wird auf Basis einer kollaborativen Architektur gestärkt. Mit OSLOCO schaffen wir ein Ökosystem, in dem Kommunen durch das Teilen von Modulen und Wissen gemeinsam Lösungen entwickeln, die technologische Abhängigkeiten beenden und öffentliche Mittel effizient in bleibende Werte transformieren.“</w:t>
            </w:r>
          </w:p>
        </w:tc>
      </w:tr>
      <w:tr w:rsidR="0036321B" w:rsidRPr="004B5272" w14:paraId="0F51A5EB" w14:textId="77777777" w:rsidTr="00025F7B">
        <w:tc>
          <w:tcPr>
            <w:tcW w:w="9062" w:type="dxa"/>
            <w:shd w:val="clear" w:color="auto" w:fill="D9D9D9" w:themeFill="background1" w:themeFillShade="D9"/>
          </w:tcPr>
          <w:p w14:paraId="4B8D85C5" w14:textId="77777777" w:rsidR="0036321B" w:rsidRPr="004B5272" w:rsidRDefault="0036321B" w:rsidP="00025F7B">
            <w:pPr>
              <w:rPr>
                <w:b/>
                <w:bCs/>
                <w:sz w:val="22"/>
                <w:szCs w:val="22"/>
              </w:rPr>
            </w:pPr>
            <w:r w:rsidRPr="004B5272">
              <w:rPr>
                <w:b/>
                <w:bCs/>
                <w:sz w:val="22"/>
                <w:szCs w:val="22"/>
              </w:rPr>
              <w:t>Projektwebsite</w:t>
            </w:r>
          </w:p>
        </w:tc>
      </w:tr>
      <w:tr w:rsidR="0036321B" w:rsidRPr="004B5272" w14:paraId="034AEDD7" w14:textId="77777777" w:rsidTr="00025F7B">
        <w:tc>
          <w:tcPr>
            <w:tcW w:w="9062" w:type="dxa"/>
          </w:tcPr>
          <w:p w14:paraId="4A56E98F" w14:textId="30EAA286" w:rsidR="0036321B" w:rsidRPr="004B5272" w:rsidRDefault="001379E1" w:rsidP="00025F7B">
            <w:pPr>
              <w:rPr>
                <w:sz w:val="22"/>
                <w:szCs w:val="22"/>
              </w:rPr>
            </w:pPr>
            <w:hyperlink r:id="rId7" w:history="1">
              <w:r w:rsidRPr="001379E1">
                <w:rPr>
                  <w:rStyle w:val="Hyperlink"/>
                  <w:sz w:val="22"/>
                  <w:szCs w:val="22"/>
                </w:rPr>
                <w:t>https://www.limbas.com/de/Referenzen/mkk/</w:t>
              </w:r>
            </w:hyperlink>
          </w:p>
        </w:tc>
      </w:tr>
      <w:tr w:rsidR="0036321B" w:rsidRPr="004B5272" w14:paraId="610963F2" w14:textId="77777777" w:rsidTr="00025F7B">
        <w:tc>
          <w:tcPr>
            <w:tcW w:w="9062" w:type="dxa"/>
            <w:shd w:val="clear" w:color="auto" w:fill="D9D9D9" w:themeFill="background1" w:themeFillShade="D9"/>
          </w:tcPr>
          <w:p w14:paraId="6C93113E" w14:textId="77777777" w:rsidR="0036321B" w:rsidRPr="004B5272" w:rsidRDefault="0036321B" w:rsidP="00025F7B">
            <w:pPr>
              <w:rPr>
                <w:b/>
                <w:bCs/>
                <w:sz w:val="22"/>
                <w:szCs w:val="22"/>
              </w:rPr>
            </w:pPr>
            <w:r w:rsidRPr="004B5272">
              <w:rPr>
                <w:b/>
                <w:bCs/>
                <w:sz w:val="22"/>
                <w:szCs w:val="22"/>
              </w:rPr>
              <w:t>Umsetzungspartner</w:t>
            </w:r>
          </w:p>
        </w:tc>
      </w:tr>
      <w:tr w:rsidR="0036321B" w:rsidRPr="004B5272" w14:paraId="44432513" w14:textId="77777777" w:rsidTr="00025F7B">
        <w:tc>
          <w:tcPr>
            <w:tcW w:w="9062" w:type="dxa"/>
          </w:tcPr>
          <w:p w14:paraId="404C2563" w14:textId="194A63A9" w:rsidR="0036321B" w:rsidRPr="004B5272" w:rsidRDefault="001379E1" w:rsidP="00025F7B">
            <w:pPr>
              <w:rPr>
                <w:sz w:val="22"/>
                <w:szCs w:val="22"/>
              </w:rPr>
            </w:pPr>
            <w:r w:rsidRPr="001379E1">
              <w:rPr>
                <w:sz w:val="22"/>
                <w:szCs w:val="22"/>
              </w:rPr>
              <w:t>Limbas GmbH</w:t>
            </w:r>
          </w:p>
        </w:tc>
      </w:tr>
      <w:tr w:rsidR="0036321B" w:rsidRPr="004B5272" w14:paraId="0B20F863" w14:textId="77777777" w:rsidTr="00025F7B">
        <w:tc>
          <w:tcPr>
            <w:tcW w:w="9062" w:type="dxa"/>
            <w:shd w:val="clear" w:color="auto" w:fill="D9D9D9" w:themeFill="background1" w:themeFillShade="D9"/>
          </w:tcPr>
          <w:p w14:paraId="5EF22922" w14:textId="77777777" w:rsidR="0036321B" w:rsidRPr="004B5272" w:rsidRDefault="0036321B" w:rsidP="00025F7B">
            <w:pPr>
              <w:rPr>
                <w:b/>
                <w:bCs/>
                <w:sz w:val="22"/>
                <w:szCs w:val="22"/>
              </w:rPr>
            </w:pPr>
            <w:r>
              <w:rPr>
                <w:b/>
                <w:bCs/>
                <w:sz w:val="22"/>
                <w:szCs w:val="22"/>
              </w:rPr>
              <w:t>Zusätzliche Dokumente</w:t>
            </w:r>
          </w:p>
        </w:tc>
      </w:tr>
      <w:tr w:rsidR="0036321B" w:rsidRPr="004B5272" w14:paraId="27E4ECE9" w14:textId="77777777" w:rsidTr="00025F7B">
        <w:tc>
          <w:tcPr>
            <w:tcW w:w="9062" w:type="dxa"/>
          </w:tcPr>
          <w:p w14:paraId="0AE5AB2F" w14:textId="58867274" w:rsidR="0036321B" w:rsidRPr="004B5272" w:rsidRDefault="001379E1" w:rsidP="00025F7B">
            <w:pPr>
              <w:rPr>
                <w:sz w:val="22"/>
                <w:szCs w:val="22"/>
              </w:rPr>
            </w:pPr>
            <w:hyperlink r:id="rId8" w:tgtFrame="_blank" w:history="1">
              <w:r w:rsidRPr="001379E1">
                <w:rPr>
                  <w:rStyle w:val="Hyperlink"/>
                  <w:sz w:val="22"/>
                  <w:szCs w:val="22"/>
                </w:rPr>
                <w:t>OSBA-2026_Bewerbung_Main-Kinzig-Kreis.pdf</w:t>
              </w:r>
            </w:hyperlink>
          </w:p>
        </w:tc>
      </w:tr>
    </w:tbl>
    <w:p w14:paraId="14618163" w14:textId="77777777" w:rsidR="0036321B" w:rsidRPr="004B5272" w:rsidRDefault="0036321B" w:rsidP="0036321B">
      <w:pPr>
        <w:spacing w:after="0" w:line="240" w:lineRule="auto"/>
      </w:pPr>
    </w:p>
    <w:p w14:paraId="1193FEEA" w14:textId="77777777" w:rsidR="00F04F02" w:rsidRPr="004B5272" w:rsidRDefault="00F04F02" w:rsidP="00B55E22">
      <w:pPr>
        <w:spacing w:after="0" w:line="240" w:lineRule="auto"/>
      </w:pPr>
    </w:p>
    <w:sectPr w:rsidR="00F04F02" w:rsidRPr="004B5272" w:rsidSect="0036321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3620258"/>
    <w:multiLevelType w:val="hybridMultilevel"/>
    <w:tmpl w:val="57E68F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15C0570"/>
    <w:multiLevelType w:val="hybridMultilevel"/>
    <w:tmpl w:val="AFBE8E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F394AD7"/>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5192E42"/>
    <w:multiLevelType w:val="hybridMultilevel"/>
    <w:tmpl w:val="918E86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1D84898"/>
    <w:multiLevelType w:val="hybridMultilevel"/>
    <w:tmpl w:val="458EAF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5B209F7"/>
    <w:multiLevelType w:val="hybridMultilevel"/>
    <w:tmpl w:val="FCC84B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6167FDA"/>
    <w:multiLevelType w:val="hybridMultilevel"/>
    <w:tmpl w:val="5BB0CE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7D90C41"/>
    <w:multiLevelType w:val="hybridMultilevel"/>
    <w:tmpl w:val="845062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7C052CC2"/>
    <w:multiLevelType w:val="hybridMultilevel"/>
    <w:tmpl w:val="88FE0F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84968938">
    <w:abstractNumId w:val="3"/>
  </w:num>
  <w:num w:numId="2" w16cid:durableId="1288126674">
    <w:abstractNumId w:val="8"/>
  </w:num>
  <w:num w:numId="3" w16cid:durableId="820737164">
    <w:abstractNumId w:val="5"/>
  </w:num>
  <w:num w:numId="4" w16cid:durableId="1644430130">
    <w:abstractNumId w:val="0"/>
  </w:num>
  <w:num w:numId="5" w16cid:durableId="815029249">
    <w:abstractNumId w:val="1"/>
  </w:num>
  <w:num w:numId="6" w16cid:durableId="1666476744">
    <w:abstractNumId w:val="2"/>
  </w:num>
  <w:num w:numId="7" w16cid:durableId="1704675121">
    <w:abstractNumId w:val="6"/>
  </w:num>
  <w:num w:numId="8" w16cid:durableId="2018919044">
    <w:abstractNumId w:val="7"/>
  </w:num>
  <w:num w:numId="9" w16cid:durableId="1016270984">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F02"/>
    <w:rsid w:val="00026AC0"/>
    <w:rsid w:val="000A5C13"/>
    <w:rsid w:val="001379E1"/>
    <w:rsid w:val="001667E3"/>
    <w:rsid w:val="00193ADF"/>
    <w:rsid w:val="00194860"/>
    <w:rsid w:val="001B3B02"/>
    <w:rsid w:val="0023181A"/>
    <w:rsid w:val="0036321B"/>
    <w:rsid w:val="00435EA7"/>
    <w:rsid w:val="004B5272"/>
    <w:rsid w:val="005066DF"/>
    <w:rsid w:val="006A560F"/>
    <w:rsid w:val="00784876"/>
    <w:rsid w:val="007F03DC"/>
    <w:rsid w:val="008063EF"/>
    <w:rsid w:val="008F6148"/>
    <w:rsid w:val="0090351D"/>
    <w:rsid w:val="00954306"/>
    <w:rsid w:val="00A70CF5"/>
    <w:rsid w:val="00AA2853"/>
    <w:rsid w:val="00B55E22"/>
    <w:rsid w:val="00D307FD"/>
    <w:rsid w:val="00E17552"/>
    <w:rsid w:val="00E641E8"/>
    <w:rsid w:val="00F04F02"/>
    <w:rsid w:val="00F37DF9"/>
    <w:rsid w:val="00F7698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6EB66480"/>
  <w15:chartTrackingRefBased/>
  <w15:docId w15:val="{E933EC95-7C1D-474B-90DB-37D2B532E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04F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04F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04F0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04F0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04F0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04F0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04F0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04F0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04F0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04F0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04F0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04F0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04F0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04F0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04F0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04F0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04F0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04F02"/>
    <w:rPr>
      <w:rFonts w:eastAsiaTheme="majorEastAsia" w:cstheme="majorBidi"/>
      <w:color w:val="272727" w:themeColor="text1" w:themeTint="D8"/>
    </w:rPr>
  </w:style>
  <w:style w:type="paragraph" w:styleId="Titel">
    <w:name w:val="Title"/>
    <w:basedOn w:val="Standard"/>
    <w:next w:val="Standard"/>
    <w:link w:val="TitelZchn"/>
    <w:uiPriority w:val="10"/>
    <w:qFormat/>
    <w:rsid w:val="00F04F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04F0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04F0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04F0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04F0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04F02"/>
    <w:rPr>
      <w:i/>
      <w:iCs/>
      <w:color w:val="404040" w:themeColor="text1" w:themeTint="BF"/>
    </w:rPr>
  </w:style>
  <w:style w:type="paragraph" w:styleId="Listenabsatz">
    <w:name w:val="List Paragraph"/>
    <w:basedOn w:val="Standard"/>
    <w:uiPriority w:val="34"/>
    <w:qFormat/>
    <w:rsid w:val="00F04F02"/>
    <w:pPr>
      <w:ind w:left="720"/>
      <w:contextualSpacing/>
    </w:pPr>
  </w:style>
  <w:style w:type="character" w:styleId="IntensiveHervorhebung">
    <w:name w:val="Intense Emphasis"/>
    <w:basedOn w:val="Absatz-Standardschriftart"/>
    <w:uiPriority w:val="21"/>
    <w:qFormat/>
    <w:rsid w:val="00F04F02"/>
    <w:rPr>
      <w:i/>
      <w:iCs/>
      <w:color w:val="0F4761" w:themeColor="accent1" w:themeShade="BF"/>
    </w:rPr>
  </w:style>
  <w:style w:type="paragraph" w:styleId="IntensivesZitat">
    <w:name w:val="Intense Quote"/>
    <w:basedOn w:val="Standard"/>
    <w:next w:val="Standard"/>
    <w:link w:val="IntensivesZitatZchn"/>
    <w:uiPriority w:val="30"/>
    <w:qFormat/>
    <w:rsid w:val="00F04F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04F02"/>
    <w:rPr>
      <w:i/>
      <w:iCs/>
      <w:color w:val="0F4761" w:themeColor="accent1" w:themeShade="BF"/>
    </w:rPr>
  </w:style>
  <w:style w:type="character" w:styleId="IntensiverVerweis">
    <w:name w:val="Intense Reference"/>
    <w:basedOn w:val="Absatz-Standardschriftart"/>
    <w:uiPriority w:val="32"/>
    <w:qFormat/>
    <w:rsid w:val="00F04F02"/>
    <w:rPr>
      <w:b/>
      <w:bCs/>
      <w:smallCaps/>
      <w:color w:val="0F4761" w:themeColor="accent1" w:themeShade="BF"/>
      <w:spacing w:val="5"/>
    </w:rPr>
  </w:style>
  <w:style w:type="table" w:styleId="Tabellenraster">
    <w:name w:val="Table Grid"/>
    <w:basedOn w:val="NormaleTabelle"/>
    <w:uiPriority w:val="39"/>
    <w:rsid w:val="00F04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F04F02"/>
    <w:rPr>
      <w:color w:val="467886" w:themeColor="hyperlink"/>
      <w:u w:val="single"/>
    </w:rPr>
  </w:style>
  <w:style w:type="character" w:styleId="NichtaufgelsteErwhnung">
    <w:name w:val="Unresolved Mention"/>
    <w:basedOn w:val="Absatz-Standardschriftart"/>
    <w:uiPriority w:val="99"/>
    <w:semiHidden/>
    <w:unhideWhenUsed/>
    <w:rsid w:val="00F04F02"/>
    <w:rPr>
      <w:color w:val="605E5C"/>
      <w:shd w:val="clear" w:color="auto" w:fill="E1DFDD"/>
    </w:rPr>
  </w:style>
  <w:style w:type="paragraph" w:customStyle="1" w:styleId="isselectedend">
    <w:name w:val="isselectedend"/>
    <w:basedOn w:val="Standar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paragraph" w:styleId="StandardWeb">
    <w:name w:val="Normal (Web)"/>
    <w:basedOn w:val="Standard"/>
    <w:uiPriority w:val="99"/>
    <w:unhideWhenUse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en-source-wettbewerb.de/wp-content/uploads/wpforms/616-821ce4cd75dcbb18cbaff57134d42439/OSBA-2026_Bewerbung_Main-Kinzig-Kreis-274085b82888cb26ab50542b4702c358.pdf" TargetMode="External"/><Relationship Id="rId3" Type="http://schemas.openxmlformats.org/officeDocument/2006/relationships/styles" Target="styles.xml"/><Relationship Id="rId7" Type="http://schemas.openxmlformats.org/officeDocument/2006/relationships/hyperlink" Target="https://www.limbas.com/de/Referenzen/mk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mkk.de"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994574-C71E-3B4C-A926-A71358DEF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756</Words>
  <Characters>4766</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 guse</dc:creator>
  <cp:keywords/>
  <dc:description/>
  <cp:lastModifiedBy>oscar guse</cp:lastModifiedBy>
  <cp:revision>4</cp:revision>
  <cp:lastPrinted>2026-06-05T15:32:00Z</cp:lastPrinted>
  <dcterms:created xsi:type="dcterms:W3CDTF">2026-07-20T15:50:00Z</dcterms:created>
  <dcterms:modified xsi:type="dcterms:W3CDTF">2026-08-05T08:55:00Z</dcterms:modified>
</cp:coreProperties>
</file>