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04F02" w:rsidRPr="004B5272" w14:paraId="73914097" w14:textId="77777777" w:rsidTr="00F04F02">
        <w:tc>
          <w:tcPr>
            <w:tcW w:w="9062" w:type="dxa"/>
            <w:shd w:val="clear" w:color="auto" w:fill="D9D9D9" w:themeFill="background1" w:themeFillShade="D9"/>
          </w:tcPr>
          <w:p w14:paraId="37953EA6" w14:textId="2E47FD98" w:rsidR="00F04F02" w:rsidRPr="004B5272" w:rsidRDefault="00F04F02" w:rsidP="00F04F02">
            <w:pPr>
              <w:rPr>
                <w:b/>
                <w:bCs/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t>Behörde / Institution</w:t>
            </w:r>
          </w:p>
        </w:tc>
      </w:tr>
      <w:tr w:rsidR="00F04F02" w:rsidRPr="004B5272" w14:paraId="797CB644" w14:textId="77777777" w:rsidTr="00F04F02">
        <w:tc>
          <w:tcPr>
            <w:tcW w:w="9062" w:type="dxa"/>
          </w:tcPr>
          <w:p w14:paraId="2667DC57" w14:textId="7A6E80C0" w:rsidR="00F04F02" w:rsidRPr="004B5272" w:rsidRDefault="00DE59B3" w:rsidP="00F04F02">
            <w:pPr>
              <w:rPr>
                <w:sz w:val="22"/>
                <w:szCs w:val="22"/>
              </w:rPr>
            </w:pPr>
            <w:r w:rsidRPr="00DE59B3">
              <w:rPr>
                <w:sz w:val="22"/>
                <w:szCs w:val="22"/>
              </w:rPr>
              <w:t>Land Berlin, vertreten durch Berlin TXL Management GmbH</w:t>
            </w:r>
          </w:p>
        </w:tc>
      </w:tr>
      <w:tr w:rsidR="00C17D64" w:rsidRPr="004B5272" w14:paraId="73A4A5E3" w14:textId="77777777" w:rsidTr="00F04F02">
        <w:tc>
          <w:tcPr>
            <w:tcW w:w="9062" w:type="dxa"/>
            <w:shd w:val="clear" w:color="auto" w:fill="D9D9D9" w:themeFill="background1" w:themeFillShade="D9"/>
          </w:tcPr>
          <w:p w14:paraId="77BB9DE1" w14:textId="646944A1" w:rsidR="00C17D64" w:rsidRPr="004B5272" w:rsidRDefault="00C17D64" w:rsidP="00F04F0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Projektname</w:t>
            </w:r>
          </w:p>
        </w:tc>
      </w:tr>
      <w:tr w:rsidR="00C17D64" w:rsidRPr="00C17D64" w14:paraId="6C25A4A4" w14:textId="77777777" w:rsidTr="00C17D64">
        <w:tc>
          <w:tcPr>
            <w:tcW w:w="9062" w:type="dxa"/>
          </w:tcPr>
          <w:p w14:paraId="0E7CFDEA" w14:textId="0DC7D845" w:rsidR="00C17D64" w:rsidRPr="00C17D64" w:rsidRDefault="00C17D64" w:rsidP="00F04F02">
            <w:pPr>
              <w:rPr>
                <w:sz w:val="22"/>
                <w:szCs w:val="22"/>
              </w:rPr>
            </w:pPr>
            <w:r w:rsidRPr="00C17D64">
              <w:rPr>
                <w:sz w:val="22"/>
                <w:szCs w:val="22"/>
              </w:rPr>
              <w:t xml:space="preserve">Urban Data Space </w:t>
            </w:r>
            <w:proofErr w:type="spellStart"/>
            <w:r w:rsidRPr="00C17D64">
              <w:rPr>
                <w:sz w:val="22"/>
                <w:szCs w:val="22"/>
              </w:rPr>
              <w:t>Platform</w:t>
            </w:r>
            <w:proofErr w:type="spellEnd"/>
            <w:r w:rsidRPr="00C17D64">
              <w:rPr>
                <w:sz w:val="22"/>
                <w:szCs w:val="22"/>
              </w:rPr>
              <w:t xml:space="preserve"> (UDSP)</w:t>
            </w:r>
          </w:p>
        </w:tc>
      </w:tr>
      <w:tr w:rsidR="00F04F02" w:rsidRPr="004B5272" w14:paraId="219D9C1F" w14:textId="77777777" w:rsidTr="00F04F02">
        <w:tc>
          <w:tcPr>
            <w:tcW w:w="9062" w:type="dxa"/>
            <w:shd w:val="clear" w:color="auto" w:fill="D9D9D9" w:themeFill="background1" w:themeFillShade="D9"/>
          </w:tcPr>
          <w:p w14:paraId="4069458A" w14:textId="33337806" w:rsidR="00F04F02" w:rsidRPr="004B5272" w:rsidRDefault="00F04F02" w:rsidP="00F04F02">
            <w:pPr>
              <w:rPr>
                <w:b/>
                <w:bCs/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t>Verwaltungsebene</w:t>
            </w:r>
          </w:p>
        </w:tc>
      </w:tr>
      <w:tr w:rsidR="00F04F02" w:rsidRPr="004B5272" w14:paraId="2AD5DCCA" w14:textId="77777777" w:rsidTr="00F04F02">
        <w:tc>
          <w:tcPr>
            <w:tcW w:w="9062" w:type="dxa"/>
          </w:tcPr>
          <w:p w14:paraId="367B14B3" w14:textId="7AE839EB" w:rsidR="00F04F02" w:rsidRPr="004B5272" w:rsidRDefault="00F37DF9" w:rsidP="00F04F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Land</w:t>
            </w:r>
          </w:p>
        </w:tc>
      </w:tr>
      <w:tr w:rsidR="00F04F02" w:rsidRPr="004B5272" w14:paraId="048DB67C" w14:textId="77777777" w:rsidTr="00F04F02">
        <w:tc>
          <w:tcPr>
            <w:tcW w:w="9062" w:type="dxa"/>
            <w:shd w:val="clear" w:color="auto" w:fill="D9D9D9" w:themeFill="background1" w:themeFillShade="D9"/>
          </w:tcPr>
          <w:p w14:paraId="6983E8FA" w14:textId="1737ECEA" w:rsidR="00F04F02" w:rsidRPr="004B5272" w:rsidRDefault="00F04F02" w:rsidP="00F04F02">
            <w:pPr>
              <w:rPr>
                <w:b/>
                <w:bCs/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t>Website / URL</w:t>
            </w:r>
          </w:p>
        </w:tc>
      </w:tr>
      <w:tr w:rsidR="00F04F02" w:rsidRPr="004B5272" w14:paraId="1745CF0D" w14:textId="77777777" w:rsidTr="00F04F02">
        <w:tc>
          <w:tcPr>
            <w:tcW w:w="9062" w:type="dxa"/>
          </w:tcPr>
          <w:p w14:paraId="4B9E6998" w14:textId="156E9A78" w:rsidR="00F04F02" w:rsidRPr="004B5272" w:rsidRDefault="00DE59B3" w:rsidP="00F04F02">
            <w:pPr>
              <w:rPr>
                <w:sz w:val="22"/>
                <w:szCs w:val="22"/>
              </w:rPr>
            </w:pPr>
            <w:hyperlink r:id="rId6" w:history="1">
              <w:r w:rsidRPr="00C17D64">
                <w:rPr>
                  <w:rStyle w:val="Hyperlink"/>
                  <w:sz w:val="22"/>
                  <w:szCs w:val="22"/>
                </w:rPr>
                <w:t>https://berlintxl.de</w:t>
              </w:r>
            </w:hyperlink>
          </w:p>
        </w:tc>
      </w:tr>
      <w:tr w:rsidR="00F04F02" w:rsidRPr="004B5272" w14:paraId="6008C487" w14:textId="77777777" w:rsidTr="00F04F02">
        <w:tc>
          <w:tcPr>
            <w:tcW w:w="9062" w:type="dxa"/>
            <w:shd w:val="clear" w:color="auto" w:fill="D9D9D9" w:themeFill="background1" w:themeFillShade="D9"/>
          </w:tcPr>
          <w:p w14:paraId="6C24EF99" w14:textId="3CCBE8B3" w:rsidR="00F04F02" w:rsidRPr="004B5272" w:rsidRDefault="00F04F02" w:rsidP="00F04F02">
            <w:pPr>
              <w:rPr>
                <w:b/>
                <w:bCs/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t>Einreichungskategorie</w:t>
            </w:r>
          </w:p>
        </w:tc>
      </w:tr>
      <w:tr w:rsidR="00F04F02" w:rsidRPr="004B5272" w14:paraId="7FC2DE17" w14:textId="77777777" w:rsidTr="00F04F02">
        <w:tc>
          <w:tcPr>
            <w:tcW w:w="9062" w:type="dxa"/>
          </w:tcPr>
          <w:p w14:paraId="4B686A4D" w14:textId="7B187538" w:rsidR="00F04F02" w:rsidRPr="004B5272" w:rsidRDefault="00DE59B3" w:rsidP="00F04F02">
            <w:pPr>
              <w:rPr>
                <w:sz w:val="22"/>
                <w:szCs w:val="22"/>
              </w:rPr>
            </w:pPr>
            <w:r w:rsidRPr="00DE59B3">
              <w:rPr>
                <w:sz w:val="22"/>
                <w:szCs w:val="22"/>
              </w:rPr>
              <w:t>Transformation</w:t>
            </w:r>
          </w:p>
        </w:tc>
      </w:tr>
      <w:tr w:rsidR="00F04F02" w:rsidRPr="004B5272" w14:paraId="78DB78F7" w14:textId="77777777" w:rsidTr="00F04F02">
        <w:tc>
          <w:tcPr>
            <w:tcW w:w="9062" w:type="dxa"/>
            <w:shd w:val="clear" w:color="auto" w:fill="D9D9D9" w:themeFill="background1" w:themeFillShade="D9"/>
          </w:tcPr>
          <w:p w14:paraId="637E2197" w14:textId="73BA11A6" w:rsidR="00F04F02" w:rsidRPr="004B5272" w:rsidRDefault="00F04F02" w:rsidP="00F04F02">
            <w:pPr>
              <w:rPr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t>Möchten Sie das Projekt noch in einer zweiten Kategorie einreichen?</w:t>
            </w:r>
          </w:p>
        </w:tc>
      </w:tr>
      <w:tr w:rsidR="00F04F02" w:rsidRPr="004B5272" w14:paraId="5BFEF9D9" w14:textId="77777777" w:rsidTr="00F04F02">
        <w:tc>
          <w:tcPr>
            <w:tcW w:w="9062" w:type="dxa"/>
          </w:tcPr>
          <w:p w14:paraId="16BC9724" w14:textId="551EC002" w:rsidR="00F04F02" w:rsidRPr="004B5272" w:rsidRDefault="00DE59B3" w:rsidP="00F04F02">
            <w:pPr>
              <w:rPr>
                <w:sz w:val="22"/>
                <w:szCs w:val="22"/>
              </w:rPr>
            </w:pPr>
            <w:r w:rsidRPr="00DE59B3">
              <w:rPr>
                <w:sz w:val="22"/>
                <w:szCs w:val="22"/>
              </w:rPr>
              <w:t>Interne Verwaltungsanwendungen</w:t>
            </w:r>
          </w:p>
        </w:tc>
      </w:tr>
      <w:tr w:rsidR="00F04F02" w:rsidRPr="004B5272" w14:paraId="76DE5C2E" w14:textId="77777777" w:rsidTr="00F04F02">
        <w:tc>
          <w:tcPr>
            <w:tcW w:w="9062" w:type="dxa"/>
            <w:shd w:val="clear" w:color="auto" w:fill="D9D9D9" w:themeFill="background1" w:themeFillShade="D9"/>
          </w:tcPr>
          <w:p w14:paraId="5FC3D565" w14:textId="674DBE24" w:rsidR="00F04F02" w:rsidRPr="004B5272" w:rsidRDefault="00F04F02" w:rsidP="00F04F02">
            <w:pPr>
              <w:rPr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t>Projektbeschreibung</w:t>
            </w:r>
          </w:p>
        </w:tc>
      </w:tr>
      <w:tr w:rsidR="00F04F02" w:rsidRPr="004B5272" w14:paraId="04FDF2A1" w14:textId="77777777" w:rsidTr="00F04F02">
        <w:tc>
          <w:tcPr>
            <w:tcW w:w="9062" w:type="dxa"/>
          </w:tcPr>
          <w:p w14:paraId="4B833E68" w14:textId="03847FB4" w:rsidR="00F04F02" w:rsidRPr="00DE59B3" w:rsidRDefault="00DE59B3" w:rsidP="0023181A">
            <w:pPr>
              <w:pStyle w:val="Standard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E59B3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In Berlin TXL entstand 2022 für den FUTR HUB die Urban Data Space </w:t>
            </w:r>
            <w:proofErr w:type="spellStart"/>
            <w:r w:rsidRPr="00DE59B3">
              <w:rPr>
                <w:rFonts w:asciiTheme="minorHAnsi" w:hAnsiTheme="minorHAnsi"/>
                <w:color w:val="000000"/>
                <w:sz w:val="22"/>
                <w:szCs w:val="22"/>
              </w:rPr>
              <w:t>Platform</w:t>
            </w:r>
            <w:proofErr w:type="spellEnd"/>
            <w:r w:rsidRPr="00DE59B3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(UDSP) als digitales Rückgrat für eines der ambitioniertesten Smart-City-Projekte Europas. Vollständig auf Open-Source-Komponenten aufgebaut (FIWARE/NGSI-LD, </w:t>
            </w:r>
            <w:proofErr w:type="spellStart"/>
            <w:r w:rsidRPr="00DE59B3">
              <w:rPr>
                <w:rFonts w:asciiTheme="minorHAnsi" w:hAnsiTheme="minorHAnsi"/>
                <w:color w:val="000000"/>
                <w:sz w:val="22"/>
                <w:szCs w:val="22"/>
              </w:rPr>
              <w:t>Kubernetes</w:t>
            </w:r>
            <w:proofErr w:type="spellEnd"/>
            <w:r w:rsidRPr="00DE59B3">
              <w:rPr>
                <w:rFonts w:asciiTheme="minorHAnsi" w:hAnsiTheme="minorHAnsi"/>
                <w:color w:val="000000"/>
                <w:sz w:val="22"/>
                <w:szCs w:val="22"/>
              </w:rPr>
              <w:t>, CKAN u. a.), vernetzt die Plattform urbane Daten aus Energie, Mobilität, Umwelt und Infrastruktur und stellt sie standardisiert für intelligente Anwendungsfälle bereit.</w:t>
            </w:r>
            <w:r w:rsidRPr="00DE59B3">
              <w:rPr>
                <w:rFonts w:asciiTheme="minorHAnsi" w:hAnsiTheme="minorHAnsi"/>
                <w:color w:val="000000"/>
                <w:sz w:val="22"/>
                <w:szCs w:val="22"/>
              </w:rPr>
              <w:br/>
              <w:t xml:space="preserve">2022 startete die Berlin TXL Management GmbH gemeinsam mit der HYPERTEGRITY AG den Aufbau der UDSP als produktive Dateninfrastruktur für das neue Stadtquartier. Die IT-Architektur ist modular, cloudbasiert und von Beginn an auf Nachnutzbarkeit ausgelegt. Der gesamte Code und die Dokumentation wurden unter EUPL 1.2 veröffentlicht – auf </w:t>
            </w:r>
            <w:proofErr w:type="spellStart"/>
            <w:r w:rsidRPr="00DE59B3">
              <w:rPr>
                <w:rFonts w:asciiTheme="minorHAnsi" w:hAnsiTheme="minorHAnsi"/>
                <w:color w:val="000000"/>
                <w:sz w:val="22"/>
                <w:szCs w:val="22"/>
              </w:rPr>
              <w:t>openCode</w:t>
            </w:r>
            <w:proofErr w:type="spellEnd"/>
            <w:r w:rsidRPr="00DE59B3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und </w:t>
            </w:r>
            <w:proofErr w:type="spellStart"/>
            <w:r w:rsidRPr="00DE59B3">
              <w:rPr>
                <w:rFonts w:asciiTheme="minorHAnsi" w:hAnsiTheme="minorHAnsi"/>
                <w:color w:val="000000"/>
                <w:sz w:val="22"/>
                <w:szCs w:val="22"/>
              </w:rPr>
              <w:t>GitLab</w:t>
            </w:r>
            <w:proofErr w:type="spellEnd"/>
            <w:r w:rsidRPr="00DE59B3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(</w:t>
            </w:r>
            <w:hyperlink r:id="rId7" w:history="1">
              <w:r w:rsidRPr="00DE59B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https://opencode.de/de/software/urban-data-space-platform-4909</w:t>
              </w:r>
            </w:hyperlink>
            <w:r w:rsidRPr="00DE59B3">
              <w:rPr>
                <w:rFonts w:asciiTheme="minorHAnsi" w:hAnsiTheme="minorHAnsi"/>
                <w:color w:val="000000"/>
                <w:sz w:val="22"/>
                <w:szCs w:val="22"/>
              </w:rPr>
              <w:t> und </w:t>
            </w:r>
            <w:hyperlink r:id="rId8" w:history="1">
              <w:r w:rsidRPr="00DE59B3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https://gitlab.com/urban-dataspace-platform/</w:t>
              </w:r>
            </w:hyperlink>
            <w:r w:rsidRPr="00DE59B3">
              <w:rPr>
                <w:rFonts w:asciiTheme="minorHAnsi" w:hAnsiTheme="minorHAnsi"/>
                <w:color w:val="000000"/>
                <w:sz w:val="22"/>
                <w:szCs w:val="22"/>
              </w:rPr>
              <w:t>).</w:t>
            </w:r>
            <w:r w:rsidRPr="00DE59B3">
              <w:rPr>
                <w:rFonts w:asciiTheme="minorHAnsi" w:hAnsiTheme="minorHAnsi"/>
                <w:color w:val="000000"/>
                <w:sz w:val="22"/>
                <w:szCs w:val="22"/>
              </w:rPr>
              <w:br/>
              <w:t>Im FUTR HUB entstanden Use Cases aus verschiedenen Domänen, wie Digitale Infrastruktur (LoRaWAN-Sensorik, Drohnen-Erprobungsfeld), Energie (Wärmemengenmessung, Ladeinfrastruktur,), Umwelt (Grundwasserpegel, Luft- und Lärmqualität), Wasser sowie Wohnen und Bauen. Entwicklungspartnerschaften mit Mitsubishi Electric, der TU Berlin, Grün Berlin und der Berliner Feuerwehr machten den FUTR HUB zum Reallabor für kooperative Smart-City-Entwicklung.</w:t>
            </w:r>
            <w:r w:rsidRPr="00DE59B3">
              <w:rPr>
                <w:rFonts w:asciiTheme="minorHAnsi" w:hAnsiTheme="minorHAnsi"/>
                <w:color w:val="000000"/>
                <w:sz w:val="22"/>
                <w:szCs w:val="22"/>
              </w:rPr>
              <w:br/>
              <w:t>Die offene Lizenzierung löste organisches Wachstum aus: Es entstand die HYPERSPACE-Community - heute über 50 Kommunen, die die Plattform gemeinsam betreiben, weiterentwickeln und ihre Erfahrungen teilen. Ebenso entstand aus dem FUTR HUB heraus der CIVITAS/CORE als Fork der UDSP - Gewinner des Open Source Wettbewerbs 2025 in der Kategorie Transformation.</w:t>
            </w:r>
            <w:r w:rsidRPr="00DE59B3">
              <w:rPr>
                <w:rFonts w:asciiTheme="minorHAnsi" w:hAnsiTheme="minorHAnsi"/>
                <w:color w:val="000000"/>
                <w:sz w:val="22"/>
                <w:szCs w:val="22"/>
              </w:rPr>
              <w:br/>
              <w:t xml:space="preserve">Die UDSP ist heute im Einsatz vom </w:t>
            </w:r>
            <w:proofErr w:type="spellStart"/>
            <w:r w:rsidRPr="00DE59B3">
              <w:rPr>
                <w:rFonts w:asciiTheme="minorHAnsi" w:hAnsiTheme="minorHAnsi"/>
                <w:color w:val="000000"/>
                <w:sz w:val="22"/>
                <w:szCs w:val="22"/>
              </w:rPr>
              <w:t>digitalsten</w:t>
            </w:r>
            <w:proofErr w:type="spellEnd"/>
            <w:r w:rsidRPr="00DE59B3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Dorf der Welt </w:t>
            </w:r>
            <w:proofErr w:type="spellStart"/>
            <w:r w:rsidRPr="00DE59B3">
              <w:rPr>
                <w:rFonts w:asciiTheme="minorHAnsi" w:hAnsiTheme="minorHAnsi"/>
                <w:color w:val="000000"/>
                <w:sz w:val="22"/>
                <w:szCs w:val="22"/>
              </w:rPr>
              <w:t>Etteln</w:t>
            </w:r>
            <w:proofErr w:type="spellEnd"/>
            <w:r w:rsidRPr="00DE59B3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bis zur Bundeshauptstadt Berlin. Das Wärmekataster Berlin (Senatsverwaltung für Mobilität, Verkehr, Klimaschutz und Umwelt) läuft bereits auf UDSP – die Plattformfamilie ist also schon heute über Berlin TXL hinaus stadtweit im produktiven Verwaltungseinsatz.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r w:rsidRPr="00DE59B3">
              <w:rPr>
                <w:rFonts w:asciiTheme="minorHAnsi" w:hAnsiTheme="minorHAnsi"/>
                <w:color w:val="000000"/>
                <w:sz w:val="22"/>
                <w:szCs w:val="22"/>
              </w:rPr>
              <w:t>Was als Reallabor in Berlin TXL begann, ist zum bundesweiten Standard für kommunale urbane Datenplattformen geworden.</w:t>
            </w:r>
          </w:p>
        </w:tc>
      </w:tr>
      <w:tr w:rsidR="00F04F02" w:rsidRPr="004B5272" w14:paraId="61313E16" w14:textId="77777777" w:rsidTr="00F04F02">
        <w:tc>
          <w:tcPr>
            <w:tcW w:w="9062" w:type="dxa"/>
            <w:shd w:val="clear" w:color="auto" w:fill="D9D9D9" w:themeFill="background1" w:themeFillShade="D9"/>
          </w:tcPr>
          <w:p w14:paraId="1D51AB9C" w14:textId="5B152D76" w:rsidR="00F04F02" w:rsidRPr="004B5272" w:rsidRDefault="00F04F02" w:rsidP="00F04F02">
            <w:pPr>
              <w:rPr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t>Beschreiben Sie den technischen Innovationsgrad des Projektes und den Beitrag zur Verwaltungsmodernisierung.</w:t>
            </w:r>
          </w:p>
        </w:tc>
      </w:tr>
      <w:tr w:rsidR="00F04F02" w:rsidRPr="004B5272" w14:paraId="43BB27BF" w14:textId="77777777" w:rsidTr="00F04F02">
        <w:tc>
          <w:tcPr>
            <w:tcW w:w="9062" w:type="dxa"/>
          </w:tcPr>
          <w:p w14:paraId="3927B798" w14:textId="4AB67755" w:rsidR="00F76986" w:rsidRPr="004B5272" w:rsidRDefault="00DE59B3" w:rsidP="00F04F02">
            <w:pPr>
              <w:rPr>
                <w:sz w:val="22"/>
                <w:szCs w:val="22"/>
              </w:rPr>
            </w:pPr>
            <w:r w:rsidRPr="00DE59B3">
              <w:rPr>
                <w:sz w:val="22"/>
                <w:szCs w:val="22"/>
              </w:rPr>
              <w:t xml:space="preserve">Die technische Innovationskraft der UDSP liegt nicht in Einzelkomponenten, sondern in einer Architektur, die Nachnutzbarkeit und Community-Wachstum strukturell erzwingt. NGSI-LD als gemeinsame Datensprache: Eine normierte Schnittstelle in Kombination mit </w:t>
            </w:r>
            <w:proofErr w:type="spellStart"/>
            <w:r w:rsidRPr="00DE59B3">
              <w:rPr>
                <w:sz w:val="22"/>
                <w:szCs w:val="22"/>
              </w:rPr>
              <w:t>SmartDataModels</w:t>
            </w:r>
            <w:proofErr w:type="spellEnd"/>
            <w:r w:rsidRPr="00DE59B3">
              <w:rPr>
                <w:sz w:val="22"/>
                <w:szCs w:val="22"/>
              </w:rPr>
              <w:t xml:space="preserve"> sorgt dafür, dass entwickelte Use Cases plattformübergreifend auf allen Community-Instanzen genutzt werden können. </w:t>
            </w:r>
            <w:proofErr w:type="spellStart"/>
            <w:r w:rsidRPr="00DE59B3">
              <w:rPr>
                <w:sz w:val="22"/>
                <w:szCs w:val="22"/>
              </w:rPr>
              <w:t>Kubernetes</w:t>
            </w:r>
            <w:proofErr w:type="spellEnd"/>
            <w:r w:rsidRPr="00DE59B3">
              <w:rPr>
                <w:sz w:val="22"/>
                <w:szCs w:val="22"/>
              </w:rPr>
              <w:t xml:space="preserve"> &amp; Helm-Charts ermöglichen reproduzierbare </w:t>
            </w:r>
            <w:proofErr w:type="spellStart"/>
            <w:r w:rsidRPr="00DE59B3">
              <w:rPr>
                <w:sz w:val="22"/>
                <w:szCs w:val="22"/>
              </w:rPr>
              <w:t>Deployments</w:t>
            </w:r>
            <w:proofErr w:type="spellEnd"/>
            <w:r w:rsidRPr="00DE59B3">
              <w:rPr>
                <w:sz w:val="22"/>
                <w:szCs w:val="22"/>
              </w:rPr>
              <w:t xml:space="preserve"> in allen Umgebungen - anbieterunabhängig auf jedem </w:t>
            </w:r>
            <w:proofErr w:type="spellStart"/>
            <w:r w:rsidRPr="00DE59B3">
              <w:rPr>
                <w:sz w:val="22"/>
                <w:szCs w:val="22"/>
              </w:rPr>
              <w:t>managed</w:t>
            </w:r>
            <w:proofErr w:type="spellEnd"/>
            <w:r w:rsidRPr="00DE59B3">
              <w:rPr>
                <w:sz w:val="22"/>
                <w:szCs w:val="22"/>
              </w:rPr>
              <w:t xml:space="preserve"> </w:t>
            </w:r>
            <w:proofErr w:type="spellStart"/>
            <w:r w:rsidRPr="00DE59B3">
              <w:rPr>
                <w:sz w:val="22"/>
                <w:szCs w:val="22"/>
              </w:rPr>
              <w:t>Kubernetes</w:t>
            </w:r>
            <w:proofErr w:type="spellEnd"/>
            <w:r w:rsidRPr="00DE59B3">
              <w:rPr>
                <w:sz w:val="22"/>
                <w:szCs w:val="22"/>
              </w:rPr>
              <w:t>-Hoster betreibbar. </w:t>
            </w:r>
            <w:r w:rsidRPr="00DE59B3">
              <w:rPr>
                <w:sz w:val="22"/>
                <w:szCs w:val="22"/>
              </w:rPr>
              <w:br/>
              <w:t xml:space="preserve">Welche Praxistauglichkeit dies erreicht, zeigen drei Referenzen: Das MPSC-Südwestcluster – sechs Modellprojekte Smart Cities aus Rheinland-Pfalz und Saarland – betreibt eine gemeinsame, Landesgrenzen überwindende UDSP-Instanz basierend auf dem FUTR Hub und </w:t>
            </w:r>
            <w:r w:rsidRPr="00DE59B3">
              <w:rPr>
                <w:sz w:val="22"/>
                <w:szCs w:val="22"/>
              </w:rPr>
              <w:lastRenderedPageBreak/>
              <w:t xml:space="preserve">realisiert darauf Use Cases wie </w:t>
            </w:r>
            <w:proofErr w:type="spellStart"/>
            <w:r w:rsidRPr="00DE59B3">
              <w:rPr>
                <w:sz w:val="22"/>
                <w:szCs w:val="22"/>
              </w:rPr>
              <w:t>Pegelstandsüberwachung</w:t>
            </w:r>
            <w:proofErr w:type="spellEnd"/>
            <w:r w:rsidRPr="00DE59B3">
              <w:rPr>
                <w:sz w:val="22"/>
                <w:szCs w:val="22"/>
              </w:rPr>
              <w:t xml:space="preserve"> und intelligentes Verkehrsmanagement.</w:t>
            </w:r>
            <w:r w:rsidRPr="00DE59B3">
              <w:rPr>
                <w:sz w:val="22"/>
                <w:szCs w:val="22"/>
              </w:rPr>
              <w:br/>
              <w:t xml:space="preserve">Der Digitale Dorfzwilling </w:t>
            </w:r>
            <w:proofErr w:type="spellStart"/>
            <w:r w:rsidRPr="00DE59B3">
              <w:rPr>
                <w:sz w:val="22"/>
                <w:szCs w:val="22"/>
              </w:rPr>
              <w:t>DiDoZ</w:t>
            </w:r>
            <w:proofErr w:type="spellEnd"/>
            <w:r w:rsidRPr="00DE59B3">
              <w:rPr>
                <w:sz w:val="22"/>
                <w:szCs w:val="22"/>
              </w:rPr>
              <w:t xml:space="preserve"> im ostwestfälischen </w:t>
            </w:r>
            <w:proofErr w:type="spellStart"/>
            <w:r w:rsidRPr="00DE59B3">
              <w:rPr>
                <w:sz w:val="22"/>
                <w:szCs w:val="22"/>
              </w:rPr>
              <w:t>Etteln</w:t>
            </w:r>
            <w:proofErr w:type="spellEnd"/>
            <w:r w:rsidRPr="00DE59B3">
              <w:rPr>
                <w:sz w:val="22"/>
                <w:szCs w:val="22"/>
              </w:rPr>
              <w:t xml:space="preserve"> belegt die Skalierbarkeit in den ländlichen Raum: Das UDSP-basierte Projekt gewann 2024 den ersten Preis des globalen IEEE Smart City Wettbewerbs – noch vor der Megastadt Hongkong auf Platz 2.</w:t>
            </w:r>
            <w:r>
              <w:rPr>
                <w:sz w:val="22"/>
                <w:szCs w:val="22"/>
              </w:rPr>
              <w:t xml:space="preserve"> </w:t>
            </w:r>
            <w:r w:rsidRPr="00DE59B3">
              <w:rPr>
                <w:sz w:val="22"/>
                <w:szCs w:val="22"/>
              </w:rPr>
              <w:t>Das Wärmekataster Berlin der Senatsverwaltung für Mobilität, Verkehr, Klimaschutz und Umwelt zeigt den großstädtischen Maßstab: Die kommunale Wärmeplanung der Bundeshauptstadt läuft GIS-integriert und produktiv auf der UDSP.</w:t>
            </w:r>
            <w:r w:rsidRPr="00DE59B3">
              <w:rPr>
                <w:sz w:val="22"/>
                <w:szCs w:val="22"/>
              </w:rPr>
              <w:br/>
              <w:t>Für Berlin TXL erfüllt die Plattform eine dreifache Rolle: als digitaler Maschinenraum für den effizienten Quartiersbetrieb, als Innovationsmotor für kollaborative datengetriebene Services und als Basis für vorausschauendes Ressourcenmanagement.</w:t>
            </w:r>
            <w:r>
              <w:rPr>
                <w:sz w:val="22"/>
                <w:szCs w:val="22"/>
              </w:rPr>
              <w:t xml:space="preserve"> </w:t>
            </w:r>
            <w:r w:rsidRPr="00DE59B3">
              <w:rPr>
                <w:sz w:val="22"/>
                <w:szCs w:val="22"/>
              </w:rPr>
              <w:t xml:space="preserve">Die UDSP ist mit einer der höchsten Badge-Anzahlen auf </w:t>
            </w:r>
            <w:proofErr w:type="spellStart"/>
            <w:r w:rsidRPr="00DE59B3">
              <w:rPr>
                <w:sz w:val="22"/>
                <w:szCs w:val="22"/>
              </w:rPr>
              <w:t>openCode</w:t>
            </w:r>
            <w:proofErr w:type="spellEnd"/>
            <w:r w:rsidRPr="00DE59B3">
              <w:rPr>
                <w:sz w:val="22"/>
                <w:szCs w:val="22"/>
              </w:rPr>
              <w:t xml:space="preserve"> gelistet - ein objektiver Qualitätsnachweis für Sicherheit, Wartbarkeit und Nachnutzung. Ergänzend wurde ein ISO 27001-zertifizierbares ISMS für urbane Datenplattformen entwickelt und aktuell in Berlin TXL umgesetzt. Die DIN SPEC 91357-Konformität sichert Anschlussfähigkeit für Urbane Digitale Zwillinge.</w:t>
            </w:r>
          </w:p>
        </w:tc>
      </w:tr>
      <w:tr w:rsidR="00F04F02" w:rsidRPr="004B5272" w14:paraId="148E2E99" w14:textId="77777777" w:rsidTr="00F04F02">
        <w:tc>
          <w:tcPr>
            <w:tcW w:w="9062" w:type="dxa"/>
            <w:shd w:val="clear" w:color="auto" w:fill="D9D9D9" w:themeFill="background1" w:themeFillShade="D9"/>
          </w:tcPr>
          <w:p w14:paraId="7DF0A8F1" w14:textId="43D6E319" w:rsidR="00F04F02" w:rsidRPr="004B5272" w:rsidRDefault="00F04F02" w:rsidP="00F04F02">
            <w:pPr>
              <w:rPr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lastRenderedPageBreak/>
              <w:t>Welchen ökomischen Nutzen hat das Projekt?</w:t>
            </w:r>
          </w:p>
        </w:tc>
      </w:tr>
      <w:tr w:rsidR="00F04F02" w:rsidRPr="004B5272" w14:paraId="2FC65D61" w14:textId="77777777" w:rsidTr="00F04F02">
        <w:tc>
          <w:tcPr>
            <w:tcW w:w="9062" w:type="dxa"/>
          </w:tcPr>
          <w:p w14:paraId="2D9E5F9A" w14:textId="5288AFF6" w:rsidR="00B55E22" w:rsidRPr="004B5272" w:rsidRDefault="00DE59B3" w:rsidP="00F04F02">
            <w:pPr>
              <w:rPr>
                <w:sz w:val="22"/>
                <w:szCs w:val="22"/>
              </w:rPr>
            </w:pPr>
            <w:r w:rsidRPr="00DE59B3">
              <w:rPr>
                <w:sz w:val="22"/>
                <w:szCs w:val="22"/>
              </w:rPr>
              <w:t>Die ökonomischen Effekte sind struktureller Natur. Sie entstehen nicht einmalig, sondern wachsen mit der Community.</w:t>
            </w:r>
            <w:r w:rsidRPr="00DE59B3">
              <w:rPr>
                <w:sz w:val="22"/>
                <w:szCs w:val="22"/>
              </w:rPr>
              <w:br/>
              <w:t>Keine Lizenzkosten: Die Berlin TXL Management GmbH betreibt eine produktive digitale Infrastruktur vollständig ohne proprietäre Lizenzgebühren - und spart damit dauerhaft Beschaffungs- und Lizenzkosten.</w:t>
            </w:r>
            <w:r w:rsidRPr="00DE59B3">
              <w:rPr>
                <w:sz w:val="22"/>
                <w:szCs w:val="22"/>
              </w:rPr>
              <w:br/>
              <w:t>Geteilte Entwicklungskosten: Was eine Einzelkommune 50.000 Euro kostet, trägt die 50-Kommunen-Community gemeinsam - ein echter Kostendegressionseffekt, der mit jeder neuen Kommune wächst.</w:t>
            </w:r>
            <w:r w:rsidRPr="00DE59B3">
              <w:rPr>
                <w:sz w:val="22"/>
                <w:szCs w:val="22"/>
              </w:rPr>
              <w:br/>
              <w:t>Beschleunigtes Onboarding: Das Ausrollmodell reduziert typische Einführungszeiten von 12-18 Monaten auf unter 4 Wochen (Referenz: Lüdenscheid/Menden - produktive Instanz inklusive Dashboards für Mobilität, Umwelt und Wetter in drei Wochen).</w:t>
            </w:r>
            <w:r w:rsidRPr="00DE59B3">
              <w:rPr>
                <w:sz w:val="22"/>
                <w:szCs w:val="22"/>
              </w:rPr>
              <w:br/>
              <w:t>Langfristige Planbarkeit: Keine Abhängigkeitsrisiken durch Lizenzpreiserhöhungen, Produktabkündigungen oder Anbieterwechsel. Die Kosten bleiben stabil und transparent.</w:t>
            </w:r>
            <w:r w:rsidRPr="00DE59B3">
              <w:rPr>
                <w:sz w:val="22"/>
                <w:szCs w:val="22"/>
              </w:rPr>
              <w:br/>
              <w:t xml:space="preserve">Feature-Patenschaften: Kernfunktionen werden durch Community-Beiträge finanziert. Die "5 für Südwestfalen" etwa haben das Mandanten-Feature entwickelt, das heute allen Kommunen </w:t>
            </w:r>
            <w:proofErr w:type="gramStart"/>
            <w:r w:rsidRPr="00DE59B3">
              <w:rPr>
                <w:sz w:val="22"/>
                <w:szCs w:val="22"/>
              </w:rPr>
              <w:t>zugute kommt</w:t>
            </w:r>
            <w:proofErr w:type="gramEnd"/>
            <w:r w:rsidRPr="00DE59B3">
              <w:rPr>
                <w:sz w:val="22"/>
                <w:szCs w:val="22"/>
              </w:rPr>
              <w:t>.</w:t>
            </w:r>
          </w:p>
        </w:tc>
      </w:tr>
      <w:tr w:rsidR="00F04F02" w:rsidRPr="004B5272" w14:paraId="58A05302" w14:textId="77777777" w:rsidTr="00F04F02">
        <w:tc>
          <w:tcPr>
            <w:tcW w:w="9062" w:type="dxa"/>
            <w:shd w:val="clear" w:color="auto" w:fill="D9D9D9" w:themeFill="background1" w:themeFillShade="D9"/>
          </w:tcPr>
          <w:p w14:paraId="5BA15E02" w14:textId="012F9EF7" w:rsidR="00F04F02" w:rsidRPr="004B5272" w:rsidRDefault="00F04F02" w:rsidP="00F04F02">
            <w:pPr>
              <w:rPr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t>Beschreiben Sie die Nachhaltigkeit der Lösung.</w:t>
            </w:r>
          </w:p>
        </w:tc>
      </w:tr>
      <w:tr w:rsidR="00F04F02" w:rsidRPr="004B5272" w14:paraId="450E4A52" w14:textId="77777777" w:rsidTr="00F04F02">
        <w:tc>
          <w:tcPr>
            <w:tcW w:w="9062" w:type="dxa"/>
          </w:tcPr>
          <w:p w14:paraId="199D5D3A" w14:textId="250525A6" w:rsidR="00F04F02" w:rsidRPr="004B5272" w:rsidRDefault="00DE59B3" w:rsidP="00F04F02">
            <w:pPr>
              <w:rPr>
                <w:sz w:val="22"/>
                <w:szCs w:val="22"/>
              </w:rPr>
            </w:pPr>
            <w:r w:rsidRPr="00DE59B3">
              <w:rPr>
                <w:sz w:val="22"/>
                <w:szCs w:val="22"/>
              </w:rPr>
              <w:t>Nachnutzbarkeit ist kein nachträgliches Feature der UDSP, sondern ihr Designprinzip. Die EUPL 1.2-Lizenzkette verpflichtet alle Weiterentwicklungen zur Offenlegung - so entsteht ein wachsendes Commons statt fragmentierter Einzellösungen. Jede Funktion, die im FUTR HUB entsteht, steht der gesamten Community zur Verfügung.</w:t>
            </w:r>
            <w:r w:rsidRPr="00DE59B3">
              <w:rPr>
                <w:sz w:val="22"/>
                <w:szCs w:val="22"/>
              </w:rPr>
              <w:br/>
              <w:t>Die HYPERSPACE-Community hat demonstriert, dass dieses Modell in der Praxis funktioniert. Kommunen, die beitreten, erhalten nicht nur Software, sondern ein Netzwerk aus Betriebswissen, Use-Case-Erfahrung und gemeinschaftlicher Weiterentwicklungskapazität. Der Wissenstransfer ist bidirektional: Neue Kommunen bringen eigene Anwendungsfälle ein, die wiederum der gesamten Community zugutekommen.</w:t>
            </w:r>
            <w:r w:rsidRPr="00DE59B3">
              <w:rPr>
                <w:sz w:val="22"/>
                <w:szCs w:val="22"/>
              </w:rPr>
              <w:br/>
              <w:t xml:space="preserve">Alle Komponenten - Infrastrukturcode, Helm-Charts, Konnektoren, Datenmodelle, Dokumentation - sind vollständig öffentlich auf </w:t>
            </w:r>
            <w:proofErr w:type="spellStart"/>
            <w:r w:rsidRPr="00DE59B3">
              <w:rPr>
                <w:sz w:val="22"/>
                <w:szCs w:val="22"/>
              </w:rPr>
              <w:t>GitLab</w:t>
            </w:r>
            <w:proofErr w:type="spellEnd"/>
            <w:r w:rsidRPr="00DE59B3">
              <w:rPr>
                <w:sz w:val="22"/>
                <w:szCs w:val="22"/>
              </w:rPr>
              <w:t xml:space="preserve"> (</w:t>
            </w:r>
            <w:hyperlink r:id="rId9" w:history="1">
              <w:r w:rsidRPr="00DE59B3">
                <w:rPr>
                  <w:rStyle w:val="Hyperlink"/>
                  <w:sz w:val="22"/>
                  <w:szCs w:val="22"/>
                </w:rPr>
                <w:t>https://gitlab.com/urban-dataspace-platform</w:t>
              </w:r>
            </w:hyperlink>
            <w:r w:rsidRPr="00DE59B3">
              <w:rPr>
                <w:sz w:val="22"/>
                <w:szCs w:val="22"/>
              </w:rPr>
              <w:t xml:space="preserve">) und </w:t>
            </w:r>
            <w:proofErr w:type="spellStart"/>
            <w:r w:rsidRPr="00DE59B3">
              <w:rPr>
                <w:sz w:val="22"/>
                <w:szCs w:val="22"/>
              </w:rPr>
              <w:t>openCode</w:t>
            </w:r>
            <w:proofErr w:type="spellEnd"/>
            <w:r w:rsidRPr="00DE59B3">
              <w:rPr>
                <w:sz w:val="22"/>
                <w:szCs w:val="22"/>
              </w:rPr>
              <w:t xml:space="preserve"> zugänglich. Standardisierte </w:t>
            </w:r>
            <w:proofErr w:type="spellStart"/>
            <w:r w:rsidRPr="00DE59B3">
              <w:rPr>
                <w:sz w:val="22"/>
                <w:szCs w:val="22"/>
              </w:rPr>
              <w:t>Deployment</w:t>
            </w:r>
            <w:proofErr w:type="spellEnd"/>
            <w:r w:rsidRPr="00DE59B3">
              <w:rPr>
                <w:sz w:val="22"/>
                <w:szCs w:val="22"/>
              </w:rPr>
              <w:t>-Pakete und aktiver Community-Support reduzieren Einführungsbarrieren auf ein Minimum.</w:t>
            </w:r>
            <w:r w:rsidRPr="00DE59B3">
              <w:rPr>
                <w:sz w:val="22"/>
                <w:szCs w:val="22"/>
              </w:rPr>
              <w:br/>
              <w:t>Inhaltlich unterstützt die Plattform die ökologischen Ziele des Stadtquartiers Berlin TXL und anderer Projekte, wo sie zum Einsatz kommt: Durch Echtzeit-Monitoring von Energieverbrauch, Mobilitätsströmen und Umweltkennzahlen können Ressourcen effizienter eingesetzt und Emissionen gezielt reduziert werden.</w:t>
            </w:r>
          </w:p>
        </w:tc>
      </w:tr>
      <w:tr w:rsidR="00F04F02" w:rsidRPr="004B5272" w14:paraId="26A981D0" w14:textId="77777777" w:rsidTr="00F04F02">
        <w:tc>
          <w:tcPr>
            <w:tcW w:w="9062" w:type="dxa"/>
            <w:shd w:val="clear" w:color="auto" w:fill="D9D9D9" w:themeFill="background1" w:themeFillShade="D9"/>
          </w:tcPr>
          <w:p w14:paraId="5045F3DF" w14:textId="67A56A12" w:rsidR="00F04F02" w:rsidRPr="004B5272" w:rsidRDefault="00F04F02" w:rsidP="00F04F02">
            <w:pPr>
              <w:rPr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t>Wie trägt das Projekt zur Stärkung der Digitalen Souveränität bei?</w:t>
            </w:r>
          </w:p>
        </w:tc>
      </w:tr>
      <w:tr w:rsidR="00F04F02" w:rsidRPr="004B5272" w14:paraId="3DFDDFB1" w14:textId="77777777" w:rsidTr="00F04F02">
        <w:tc>
          <w:tcPr>
            <w:tcW w:w="9062" w:type="dxa"/>
          </w:tcPr>
          <w:p w14:paraId="4FE5CD32" w14:textId="112BD07F" w:rsidR="00784876" w:rsidRPr="004B5272" w:rsidRDefault="00DE59B3" w:rsidP="00F04F02">
            <w:pPr>
              <w:rPr>
                <w:sz w:val="22"/>
                <w:szCs w:val="22"/>
              </w:rPr>
            </w:pPr>
            <w:r w:rsidRPr="00DE59B3">
              <w:rPr>
                <w:sz w:val="22"/>
                <w:szCs w:val="22"/>
              </w:rPr>
              <w:lastRenderedPageBreak/>
              <w:t>Digitale Souveränität bedeutet für den FUTR HUB mehr als nur Code-Verfügbarkeit. Es geht um drei Dimensionen: technische Unabhängigkeit, institutionelle Selbstkontrolle und gemeinschaftliche Gestaltungsmacht.</w:t>
            </w:r>
            <w:r w:rsidRPr="00DE59B3">
              <w:rPr>
                <w:sz w:val="22"/>
                <w:szCs w:val="22"/>
              </w:rPr>
              <w:br/>
              <w:t xml:space="preserve">Technisch: Vollständige Open-Source-Basis (EUPL 1.2), kein proprietärer Code, kein Cloud-Abhängigkeitsrisiko. Die Plattform läuft auf standardisierten </w:t>
            </w:r>
            <w:proofErr w:type="spellStart"/>
            <w:r w:rsidRPr="00DE59B3">
              <w:rPr>
                <w:sz w:val="22"/>
                <w:szCs w:val="22"/>
              </w:rPr>
              <w:t>Kubernetes</w:t>
            </w:r>
            <w:proofErr w:type="spellEnd"/>
            <w:r w:rsidRPr="00DE59B3">
              <w:rPr>
                <w:sz w:val="22"/>
                <w:szCs w:val="22"/>
              </w:rPr>
              <w:t>-</w:t>
            </w:r>
            <w:proofErr w:type="spellStart"/>
            <w:r w:rsidRPr="00DE59B3">
              <w:rPr>
                <w:sz w:val="22"/>
                <w:szCs w:val="22"/>
              </w:rPr>
              <w:t>Managed</w:t>
            </w:r>
            <w:proofErr w:type="spellEnd"/>
            <w:r w:rsidRPr="00DE59B3">
              <w:rPr>
                <w:sz w:val="22"/>
                <w:szCs w:val="22"/>
              </w:rPr>
              <w:t xml:space="preserve">-Services und ist bei jedem BSI-konformen Hoster betreibbar. Offene Standards (NGSI-LD, OGC WMS/WFS, </w:t>
            </w:r>
            <w:proofErr w:type="spellStart"/>
            <w:r w:rsidRPr="00DE59B3">
              <w:rPr>
                <w:sz w:val="22"/>
                <w:szCs w:val="22"/>
              </w:rPr>
              <w:t>OpenAPI</w:t>
            </w:r>
            <w:proofErr w:type="spellEnd"/>
            <w:r w:rsidRPr="00DE59B3">
              <w:rPr>
                <w:sz w:val="22"/>
                <w:szCs w:val="22"/>
              </w:rPr>
              <w:t>) sichern Interoperabilität mit bestehenden Verwaltungssystemen.</w:t>
            </w:r>
            <w:r w:rsidRPr="00DE59B3">
              <w:rPr>
                <w:sz w:val="22"/>
                <w:szCs w:val="22"/>
              </w:rPr>
              <w:br/>
              <w:t xml:space="preserve">Institutionell: Durch EUPL 1.2-Lizenzierung und öffentliche Verfügbarkeit auf </w:t>
            </w:r>
            <w:proofErr w:type="spellStart"/>
            <w:r w:rsidRPr="00DE59B3">
              <w:rPr>
                <w:sz w:val="22"/>
                <w:szCs w:val="22"/>
              </w:rPr>
              <w:t>openCode</w:t>
            </w:r>
            <w:proofErr w:type="spellEnd"/>
            <w:r w:rsidRPr="00DE59B3">
              <w:rPr>
                <w:sz w:val="22"/>
                <w:szCs w:val="22"/>
              </w:rPr>
              <w:t xml:space="preserve"> liegt die Kontrolle über die Softwareentwicklung strukturell in der öffentlichen Hand. Das Prinzip "Public Money, Public Code" ist hier nicht Theorie, sondern gelebte Praxis.</w:t>
            </w:r>
            <w:r w:rsidRPr="00DE59B3">
              <w:rPr>
                <w:sz w:val="22"/>
                <w:szCs w:val="22"/>
              </w:rPr>
              <w:br/>
              <w:t>Gemeinschaftlich: Die HYPERSPACE-Community und CIVITAS/CORE beweisen, dass Kommunen nicht als passive Konsumenten von Technologie auftreten müssen, sondern als aktive Gestalter eines offenen, souveränen Technologieraums - der Mehrwert für alle schafft, ohne Einzelne abhängig zu machen.</w:t>
            </w:r>
          </w:p>
        </w:tc>
      </w:tr>
      <w:tr w:rsidR="00F04F02" w:rsidRPr="004B5272" w14:paraId="4813763B" w14:textId="77777777" w:rsidTr="00F04F02">
        <w:tc>
          <w:tcPr>
            <w:tcW w:w="9062" w:type="dxa"/>
            <w:shd w:val="clear" w:color="auto" w:fill="D9D9D9" w:themeFill="background1" w:themeFillShade="D9"/>
          </w:tcPr>
          <w:p w14:paraId="4F7B4BB0" w14:textId="7B46169F" w:rsidR="00F04F02" w:rsidRPr="004B5272" w:rsidRDefault="00F04F02" w:rsidP="00F04F02">
            <w:pPr>
              <w:rPr>
                <w:b/>
                <w:bCs/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t>Projektwebsite</w:t>
            </w:r>
          </w:p>
        </w:tc>
      </w:tr>
      <w:tr w:rsidR="00F04F02" w:rsidRPr="004B5272" w14:paraId="27683BD7" w14:textId="77777777" w:rsidTr="00F04F02">
        <w:tc>
          <w:tcPr>
            <w:tcW w:w="9062" w:type="dxa"/>
          </w:tcPr>
          <w:p w14:paraId="2DAB805D" w14:textId="48D1EAE5" w:rsidR="00F04F02" w:rsidRPr="004B5272" w:rsidRDefault="00DE59B3" w:rsidP="00F04F02">
            <w:pPr>
              <w:rPr>
                <w:sz w:val="22"/>
                <w:szCs w:val="22"/>
              </w:rPr>
            </w:pPr>
            <w:hyperlink r:id="rId10" w:history="1">
              <w:r w:rsidRPr="00DE59B3">
                <w:rPr>
                  <w:rStyle w:val="Hyperlink"/>
                  <w:sz w:val="22"/>
                  <w:szCs w:val="22"/>
                </w:rPr>
                <w:t>https://futr-hub.urbantechrepublic.de</w:t>
              </w:r>
            </w:hyperlink>
          </w:p>
        </w:tc>
      </w:tr>
      <w:tr w:rsidR="00F04F02" w:rsidRPr="004B5272" w14:paraId="10D55F9F" w14:textId="77777777" w:rsidTr="00F04F02">
        <w:tc>
          <w:tcPr>
            <w:tcW w:w="9062" w:type="dxa"/>
            <w:shd w:val="clear" w:color="auto" w:fill="D9D9D9" w:themeFill="background1" w:themeFillShade="D9"/>
          </w:tcPr>
          <w:p w14:paraId="64CC6897" w14:textId="2C1D735C" w:rsidR="00F04F02" w:rsidRPr="004B5272" w:rsidRDefault="00F04F02" w:rsidP="00F04F02">
            <w:pPr>
              <w:rPr>
                <w:b/>
                <w:bCs/>
                <w:sz w:val="22"/>
                <w:szCs w:val="22"/>
              </w:rPr>
            </w:pPr>
            <w:r w:rsidRPr="004B5272">
              <w:rPr>
                <w:b/>
                <w:bCs/>
                <w:sz w:val="22"/>
                <w:szCs w:val="22"/>
              </w:rPr>
              <w:t>Umsetzungspartner</w:t>
            </w:r>
          </w:p>
        </w:tc>
      </w:tr>
      <w:tr w:rsidR="00F04F02" w:rsidRPr="004B5272" w14:paraId="027CFE6F" w14:textId="77777777" w:rsidTr="00F04F02">
        <w:tc>
          <w:tcPr>
            <w:tcW w:w="9062" w:type="dxa"/>
          </w:tcPr>
          <w:p w14:paraId="64C2066A" w14:textId="63940356" w:rsidR="00F04F02" w:rsidRPr="004B5272" w:rsidRDefault="00DE59B3" w:rsidP="00F04F02">
            <w:pPr>
              <w:rPr>
                <w:sz w:val="22"/>
                <w:szCs w:val="22"/>
              </w:rPr>
            </w:pPr>
            <w:hyperlink r:id="rId11" w:history="1">
              <w:r w:rsidRPr="00DE59B3">
                <w:rPr>
                  <w:rStyle w:val="Hyperlink"/>
                  <w:sz w:val="22"/>
                  <w:szCs w:val="22"/>
                </w:rPr>
                <w:t>https://www.hypertegrity.de/</w:t>
              </w:r>
            </w:hyperlink>
            <w:r w:rsidRPr="00DE59B3">
              <w:rPr>
                <w:sz w:val="22"/>
                <w:szCs w:val="22"/>
              </w:rPr>
              <w:t> </w:t>
            </w:r>
            <w:hyperlink r:id="rId12" w:history="1">
              <w:r w:rsidRPr="00DE59B3">
                <w:rPr>
                  <w:rStyle w:val="Hyperlink"/>
                  <w:sz w:val="22"/>
                  <w:szCs w:val="22"/>
                </w:rPr>
                <w:t>https://www.wavestone.com/de/</w:t>
              </w:r>
            </w:hyperlink>
            <w:r w:rsidRPr="00DE59B3">
              <w:rPr>
                <w:sz w:val="22"/>
                <w:szCs w:val="22"/>
              </w:rPr>
              <w:t> </w:t>
            </w:r>
            <w:hyperlink r:id="rId13" w:history="1">
              <w:r w:rsidRPr="00DE59B3">
                <w:rPr>
                  <w:rStyle w:val="Hyperlink"/>
                  <w:sz w:val="22"/>
                  <w:szCs w:val="22"/>
                </w:rPr>
                <w:t>https://terrestris.de/</w:t>
              </w:r>
            </w:hyperlink>
            <w:r w:rsidRPr="00DE59B3">
              <w:rPr>
                <w:sz w:val="22"/>
                <w:szCs w:val="22"/>
              </w:rPr>
              <w:t> </w:t>
            </w:r>
            <w:hyperlink r:id="rId14" w:history="1">
              <w:r w:rsidRPr="00DE59B3">
                <w:rPr>
                  <w:rStyle w:val="Hyperlink"/>
                  <w:sz w:val="22"/>
                  <w:szCs w:val="22"/>
                </w:rPr>
                <w:t>https://gruen-berlin.de/</w:t>
              </w:r>
            </w:hyperlink>
          </w:p>
        </w:tc>
      </w:tr>
      <w:tr w:rsidR="004B5272" w:rsidRPr="004B5272" w14:paraId="2FA5D8E8" w14:textId="77777777" w:rsidTr="00025F7B">
        <w:tc>
          <w:tcPr>
            <w:tcW w:w="9062" w:type="dxa"/>
            <w:shd w:val="clear" w:color="auto" w:fill="D9D9D9" w:themeFill="background1" w:themeFillShade="D9"/>
          </w:tcPr>
          <w:p w14:paraId="28646C92" w14:textId="6EA27F65" w:rsidR="004B5272" w:rsidRPr="004B5272" w:rsidRDefault="004B5272" w:rsidP="00025F7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Zusätzliche Dokumente</w:t>
            </w:r>
          </w:p>
        </w:tc>
      </w:tr>
      <w:tr w:rsidR="004B5272" w:rsidRPr="004B5272" w14:paraId="32AF01B6" w14:textId="77777777" w:rsidTr="00F04F02">
        <w:tc>
          <w:tcPr>
            <w:tcW w:w="9062" w:type="dxa"/>
          </w:tcPr>
          <w:p w14:paraId="1B8E06FE" w14:textId="42980E0D" w:rsidR="004B5272" w:rsidRPr="004B5272" w:rsidRDefault="00DE59B3" w:rsidP="00F04F02">
            <w:pPr>
              <w:rPr>
                <w:sz w:val="22"/>
                <w:szCs w:val="22"/>
              </w:rPr>
            </w:pPr>
            <w:hyperlink r:id="rId15" w:tgtFrame="_blank" w:history="1">
              <w:r w:rsidRPr="00DE59B3">
                <w:rPr>
                  <w:rStyle w:val="Hyperlink"/>
                  <w:sz w:val="22"/>
                  <w:szCs w:val="22"/>
                </w:rPr>
                <w:t>2026-07_Open-Source-Wettbewerb.pdf</w:t>
              </w:r>
            </w:hyperlink>
          </w:p>
        </w:tc>
      </w:tr>
    </w:tbl>
    <w:p w14:paraId="1193FEEA" w14:textId="77777777" w:rsidR="00F04F02" w:rsidRPr="004B5272" w:rsidRDefault="00F04F02" w:rsidP="00B55E22">
      <w:pPr>
        <w:spacing w:after="0" w:line="240" w:lineRule="auto"/>
      </w:pPr>
    </w:p>
    <w:sectPr w:rsidR="00F04F02" w:rsidRPr="004B527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3620258"/>
    <w:multiLevelType w:val="hybridMultilevel"/>
    <w:tmpl w:val="57E68F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5C0570"/>
    <w:multiLevelType w:val="hybridMultilevel"/>
    <w:tmpl w:val="AFBE8E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394AD7"/>
    <w:multiLevelType w:val="multilevel"/>
    <w:tmpl w:val="7624B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192E42"/>
    <w:multiLevelType w:val="hybridMultilevel"/>
    <w:tmpl w:val="918E86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B209F7"/>
    <w:multiLevelType w:val="hybridMultilevel"/>
    <w:tmpl w:val="FCC84B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52CC2"/>
    <w:multiLevelType w:val="hybridMultilevel"/>
    <w:tmpl w:val="88FE0F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4968938">
    <w:abstractNumId w:val="3"/>
  </w:num>
  <w:num w:numId="2" w16cid:durableId="1288126674">
    <w:abstractNumId w:val="5"/>
  </w:num>
  <w:num w:numId="3" w16cid:durableId="820737164">
    <w:abstractNumId w:val="4"/>
  </w:num>
  <w:num w:numId="4" w16cid:durableId="1644430130">
    <w:abstractNumId w:val="0"/>
  </w:num>
  <w:num w:numId="5" w16cid:durableId="815029249">
    <w:abstractNumId w:val="1"/>
  </w:num>
  <w:num w:numId="6" w16cid:durableId="1666476744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F02"/>
    <w:rsid w:val="00026AC0"/>
    <w:rsid w:val="000A5C13"/>
    <w:rsid w:val="00193ADF"/>
    <w:rsid w:val="00194860"/>
    <w:rsid w:val="001B3B02"/>
    <w:rsid w:val="0023181A"/>
    <w:rsid w:val="00435EA7"/>
    <w:rsid w:val="004B5272"/>
    <w:rsid w:val="005066DF"/>
    <w:rsid w:val="006A560F"/>
    <w:rsid w:val="00784876"/>
    <w:rsid w:val="007F03DC"/>
    <w:rsid w:val="008063EF"/>
    <w:rsid w:val="008F6148"/>
    <w:rsid w:val="0090351D"/>
    <w:rsid w:val="00954306"/>
    <w:rsid w:val="00AA2853"/>
    <w:rsid w:val="00B55E22"/>
    <w:rsid w:val="00C17D64"/>
    <w:rsid w:val="00D307FD"/>
    <w:rsid w:val="00DE59B3"/>
    <w:rsid w:val="00E17552"/>
    <w:rsid w:val="00E641E8"/>
    <w:rsid w:val="00F04F02"/>
    <w:rsid w:val="00F37DF9"/>
    <w:rsid w:val="00F7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66480"/>
  <w15:chartTrackingRefBased/>
  <w15:docId w15:val="{E933EC95-7C1D-474B-90DB-37D2B532E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04F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04F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04F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04F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04F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04F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04F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04F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04F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04F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04F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04F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04F0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04F0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04F0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04F0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04F0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04F0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04F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04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04F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04F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04F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04F0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04F0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04F0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04F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04F0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04F02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F04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F04F0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04F02"/>
    <w:rPr>
      <w:color w:val="605E5C"/>
      <w:shd w:val="clear" w:color="auto" w:fill="E1DFDD"/>
    </w:rPr>
  </w:style>
  <w:style w:type="paragraph" w:customStyle="1" w:styleId="isselectedend">
    <w:name w:val="isselectedend"/>
    <w:basedOn w:val="Standard"/>
    <w:rsid w:val="00F04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StandardWeb">
    <w:name w:val="Normal (Web)"/>
    <w:basedOn w:val="Standard"/>
    <w:uiPriority w:val="99"/>
    <w:unhideWhenUsed/>
    <w:rsid w:val="00F04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lab.com/urban-dataspace-platform/" TargetMode="External"/><Relationship Id="rId13" Type="http://schemas.openxmlformats.org/officeDocument/2006/relationships/hyperlink" Target="https://terrestris.de/" TargetMode="External"/><Relationship Id="rId3" Type="http://schemas.openxmlformats.org/officeDocument/2006/relationships/styles" Target="styles.xml"/><Relationship Id="rId7" Type="http://schemas.openxmlformats.org/officeDocument/2006/relationships/hyperlink" Target="https://opencode.de/de/software/urban-data-space-platform-4909" TargetMode="External"/><Relationship Id="rId12" Type="http://schemas.openxmlformats.org/officeDocument/2006/relationships/hyperlink" Target="https://www.wavestone.com/de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berlintxl.de" TargetMode="External"/><Relationship Id="rId11" Type="http://schemas.openxmlformats.org/officeDocument/2006/relationships/hyperlink" Target="https://www.hypertegrity.d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pen-source-wettbewerb.de/wp-content/uploads/wpforms/616-821ce4cd75dcbb18cbaff57134d42439/2026-07_Open-Source-Wettbewerb-aab0ddac36a53f44e0bbf41dcf28d7a2.pdf" TargetMode="External"/><Relationship Id="rId10" Type="http://schemas.openxmlformats.org/officeDocument/2006/relationships/hyperlink" Target="https://futr-hub.urbantechrepublic.d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itlab.com/urban-dataspace-platform" TargetMode="External"/><Relationship Id="rId14" Type="http://schemas.openxmlformats.org/officeDocument/2006/relationships/hyperlink" Target="https://gruen-berlin.de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E994574-C71E-3B4C-A926-A71358DEF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1256</Words>
  <Characters>7920</Characters>
  <Application>Microsoft Office Word</Application>
  <DocSecurity>0</DocSecurity>
  <Lines>66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guse</dc:creator>
  <cp:keywords/>
  <dc:description/>
  <cp:lastModifiedBy>oscar guse</cp:lastModifiedBy>
  <cp:revision>3</cp:revision>
  <cp:lastPrinted>2026-06-05T15:32:00Z</cp:lastPrinted>
  <dcterms:created xsi:type="dcterms:W3CDTF">2026-07-20T22:29:00Z</dcterms:created>
  <dcterms:modified xsi:type="dcterms:W3CDTF">2026-08-05T10:01:00Z</dcterms:modified>
</cp:coreProperties>
</file>